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500"/>
      </w:pPr>
    </w:p>
    <w:p>
      <w:pPr>
        <w:spacing w:after="500"/>
        <w:jc w:val="center"/>
      </w:pPr>
      <w:r>
        <w:drawing>
          <wp:inline distT="0" distB="0" distL="0" distR="0">
            <wp:extent cx="4286250" cy="285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286250" cy="2857500"/>
                    </a:xfrm>
                    <a:prstGeom prst="rect">
                      <a:avLst/>
                    </a:prstGeom>
                  </pic:spPr>
                </pic:pic>
              </a:graphicData>
            </a:graphic>
          </wp:inline>
        </w:drawing>
      </w:r>
    </w:p>
    <w:p>
      <w:pPr>
        <w:spacing w:after="1200" w:before="500"/>
        <w:jc w:val="center"/>
      </w:pPr>
      <w:r>
        <w:rPr>
          <w:b/>
          <w:bCs/>
          <w:sz w:val="48"/>
          <w:szCs w:val="48"/>
          <w:rFonts w:ascii="Arial" w:cs="Arial" w:eastAsia="Arial" w:hAnsi="Arial"/>
        </w:rPr>
        <w:t xml:space="preserve">PROJECT REPORT</w:t>
      </w:r>
    </w:p>
    <w:p>
      <w:pPr>
        <w:spacing w:after="1000" w:before="1000"/>
        <w:jc w:val="center"/>
      </w:pPr>
      <w:r>
        <w:rPr>
          <w:sz w:val="36"/>
          <w:szCs w:val="36"/>
          <w:rFonts w:ascii="Arial" w:cs="Arial" w:eastAsia="Arial" w:hAnsi="Arial"/>
        </w:rPr>
        <w:t xml:space="preserve">Of</w:t>
      </w:r>
    </w:p>
    <w:p>
      <w:pPr>
        <w:spacing w:after="300" w:before="0"/>
        <w:jc w:val="center"/>
      </w:pPr>
      <w:r>
        <w:rPr>
          <w:b/>
          <w:bCs/>
          <w:sz w:val="60"/>
          <w:szCs w:val="60"/>
          <w:rFonts w:ascii="Arial" w:cs="Arial" w:eastAsia="Arial" w:hAnsi="Arial"/>
        </w:rPr>
        <w:t xml:space="preserve">FINXORA</w:t>
      </w:r>
    </w:p>
    <w:p>
      <w:pPr>
        <w:spacing w:before="100" w:after="100"/>
        <w:jc w:val="center"/>
      </w:pPr>
      <w:r>
        <w:rPr>
          <w:sz w:val="28"/>
          <w:szCs w:val="28"/>
          <w:rFonts w:ascii="Arial" w:cs="Arial" w:eastAsia="Arial" w:hAnsi="Arial"/>
        </w:rPr>
        <w:t xml:space="preserve">Proprietor: FINXORA</w:t>
      </w:r>
    </w:p>
    <w:p>
      <w:pPr>
        <w:spacing w:before="150" w:after="3300"/>
        <w:jc w:val="center"/>
      </w:pPr>
      <w:r>
        <w:rPr>
          <w:b/>
          <w:bCs/>
          <w:sz w:val="28"/>
          <w:szCs w:val="28"/>
          <w:rFonts w:ascii="Arial" w:cs="Arial" w:eastAsia="Arial" w:hAnsi="Arial"/>
        </w:rPr>
        <w:t xml:space="preserve">For Term Loan of 5,00,000.00 /- and CC of 4,00,000.00 /-</w:t>
      </w:r>
    </w:p>
    <w:p>
      <w:pPr>
        <w:sectPr>
          <w:pgSz w:w="11906" w:h="16838" w:orient="portrait"/>
          <w:pgMar w:top="720" w:right="720" w:bottom="720" w:left="720" w:header="708" w:footer="708" w:gutter="0"/>
          <w:pgNumType/>
          <w:docGrid w:linePitch="360"/>
        </w:sectPr>
      </w:pPr>
    </w:p>
    <w:p>
      <w:pPr>
        <w:pStyle w:val="docTitle"/>
        <w:spacing w:after="300" w:before="200"/>
        <w:jc w:val="center"/>
      </w:pPr>
      <w:r>
        <w:t xml:space="preserve">COMPANY PROFILE</w:t>
      </w:r>
    </w:p>
    <w:p>
      <w:pPr>
        <w:pStyle w:val="sectionHeading"/>
        <w:spacing w:after="150" w:before="150"/>
        <w:jc w:val="left"/>
      </w:pPr>
      <w:r>
        <w:t xml:space="preserve">I. Company Information</w:t>
      </w:r>
    </w:p>
    <w:tbl>
      <w:tblPr>
        <w:tblW w:type="pct" w:w="85%"/>
        <w:jc w:val="center"/>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Name of the Company/Firm</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FINXORA</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Proprietor Name</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FINXORA</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Constitution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proprietorship</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Address</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Ward no 11, Ganj Basoda, Dist. Vidisha, Madhya Pradesh, 464221, India</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PAN No.</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AABPB1234C</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Industry</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SERVICE PROVIDING</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Type of Business</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SERVICE PROVIDER</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Business Starting Date</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01-Apr-2026</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Type of Loan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PMEGP Loan</w:t>
            </w:r>
          </w:p>
        </w:tc>
      </w:tr>
    </w:tbl>
    <w:p>
      <w:pPr>
        <w:spacing w:after="150"/>
      </w:pPr>
    </w:p>
    <w:p>
      <w:pPr>
        <w:pStyle w:val="sectionHeading"/>
        <w:spacing w:after="150" w:before="150"/>
        <w:jc w:val="left"/>
      </w:pPr>
      <w:r>
        <w:t xml:space="preserve">II. Project &amp; Financial Overview</w:t>
      </w:r>
    </w:p>
    <w:tbl>
      <w:tblPr>
        <w:tblW w:type="pct" w:w="85%"/>
        <w:jc w:val="center"/>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Report Period</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2026 - 2030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Currency</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Amount In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Actual</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Total Project Cost</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10,00,000.00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5,00,000.00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 Duration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5 years</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 Interest Rate (%)</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11%</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Term Loan EMI (per month)</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10,871.21</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Working Capital Loan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4,00,000.00</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WC Loan Interest Rate (%)</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11%</w:t>
            </w:r>
          </w:p>
        </w:tc>
      </w:tr>
      <w:tr>
        <w:trPr>
          <w:trHeight w:val="431" w:hRule="atLeast"/>
        </w:trPr>
        <w:tc>
          <w:tcPr>
            <w:tcW w:type="pct" w:w="40%"/>
            <w:tcBorders>
              <w:top w:val="single" w:color="BFBFBF" w:sz="1"/>
              <w:left w:val="single" w:color="BFBFBF" w:sz="1"/>
              <w:bottom w:val="single" w:color="BFBFBF" w:sz="1"/>
              <w:right w:val="single" w:color="BFBFBF" w:sz="1"/>
            </w:tcBorders>
            <w:vAlign w:val="center"/>
          </w:tcPr>
          <w:p>
            <w:pPr>
              <w:pStyle w:val="Default"/>
              <w:spacing w:before="60" w:after="60"/>
            </w:pPr>
            <w:r>
              <w:rPr>
                <w:b/>
                <w:bCs/>
              </w:rPr>
              <w:t xml:space="preserve">Own Contribution</w:t>
            </w:r>
          </w:p>
        </w:tc>
        <w:tc>
          <w:tcPr>
            <w:tcW w:type="pct" w:w="60%"/>
            <w:tcBorders>
              <w:top w:val="single" w:color="BFBFBF" w:sz="1"/>
              <w:left w:val="single" w:color="BFBFBF" w:sz="1"/>
              <w:bottom w:val="single" w:color="BFBFBF" w:sz="1"/>
              <w:right w:val="single" w:color="BFBFBF" w:sz="1"/>
            </w:tcBorders>
            <w:vAlign w:val="center"/>
          </w:tcPr>
          <w:p>
            <w:pPr>
              <w:pStyle w:val="Default"/>
              <w:spacing w:before="60" w:after="60"/>
            </w:pPr>
            <w:r>
              <w:t xml:space="preserve">INR 1,00,000.00</w:t>
            </w:r>
          </w:p>
        </w:tc>
      </w:tr>
    </w:tbl>
    <w:p>
      <w:pPr>
        <w:spacing w:after="200"/>
      </w:pPr>
    </w:p>
    <w:p>
      <w:pPr>
        <w:pStyle w:val="sectionHeading"/>
        <w:spacing w:before="200" w:after="100"/>
      </w:pPr>
      <w:r>
        <w:t xml:space="preserve">III. Financial Indicators</w:t>
      </w:r>
    </w:p>
    <w:tbl>
      <w:tblPr>
        <w:tblW w:type="pct" w:w="85%"/>
        <w:jc w:val="center"/>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tcPr>
            <w:tcW w:type="pct" w:w="50%"/>
            <w:tcBorders>
              <w:top w:val="single" w:color="000000" w:sz="1"/>
              <w:left w:val="single" w:color="000000" w:sz="1"/>
              <w:bottom w:val="single" w:color="000000" w:sz="1"/>
              <w:right w:val="single" w:color="000000" w:sz="1"/>
            </w:tcBorders>
            <w:shd w:fill="475569" w:color="475569" w:val="solid"/>
          </w:tcPr>
          <w:p>
            <w:r>
              <w:rPr>
                <w:b/>
                <w:bCs/>
                <w:color w:val="FFFFFF"/>
              </w:rPr>
              <w:t xml:space="preserve">Particulars</w:t>
            </w:r>
          </w:p>
        </w:tc>
        <w:tc>
          <w:tcPr>
            <w:tcW w:type="pct" w:w="50%"/>
            <w:tcBorders>
              <w:top w:val="single" w:color="000000" w:sz="1"/>
              <w:left w:val="single" w:color="000000" w:sz="1"/>
              <w:bottom w:val="single" w:color="000000" w:sz="1"/>
              <w:right w:val="single" w:color="000000" w:sz="1"/>
            </w:tcBorders>
            <w:shd w:fill="475569" w:color="475569" w:val="solid"/>
          </w:tcPr>
          <w:p>
            <w:pPr>
              <w:jc w:val="right"/>
            </w:pPr>
            <w:r>
              <w:rPr>
                <w:b/>
                <w:bCs/>
                <w:color w:val="FFFFFF"/>
              </w:rPr>
              <w:t xml:space="preserve">Value</w:t>
            </w:r>
          </w:p>
        </w:tc>
      </w:tr>
      <w:tr>
        <w:tc>
          <w:tcPr>
            <w:tcBorders>
              <w:top w:val="single" w:color="000000" w:sz="1"/>
              <w:left w:val="single" w:color="000000" w:sz="1"/>
              <w:bottom w:val="single" w:color="000000" w:sz="1"/>
              <w:right w:val="single" w:color="000000" w:sz="1"/>
            </w:tcBorders>
          </w:tcPr>
          <w:p>
            <w:r>
              <w:t xml:space="preserve">Average DSCR</w:t>
            </w:r>
          </w:p>
        </w:tc>
        <w:tc>
          <w:tcPr>
            <w:tcBorders>
              <w:top w:val="single" w:color="000000" w:sz="1"/>
              <w:left w:val="single" w:color="000000" w:sz="1"/>
              <w:bottom w:val="single" w:color="000000" w:sz="1"/>
              <w:right w:val="single" w:color="000000" w:sz="1"/>
            </w:tcBorders>
          </w:tcPr>
          <w:p>
            <w:pPr>
              <w:jc w:val="right"/>
            </w:pPr>
            <w:r>
              <w:t xml:space="preserve">8.61</w:t>
            </w:r>
          </w:p>
        </w:tc>
      </w:tr>
      <w:tr>
        <w:tc>
          <w:tcPr>
            <w:tcBorders>
              <w:top w:val="single" w:color="000000" w:sz="1"/>
              <w:left w:val="single" w:color="000000" w:sz="1"/>
              <w:bottom w:val="single" w:color="000000" w:sz="1"/>
              <w:right w:val="single" w:color="000000" w:sz="1"/>
            </w:tcBorders>
          </w:tcPr>
          <w:p>
            <w:r>
              <w:t xml:space="preserve">Average Current Ratio</w:t>
            </w:r>
          </w:p>
        </w:tc>
        <w:tc>
          <w:tcPr>
            <w:tcBorders>
              <w:top w:val="single" w:color="000000" w:sz="1"/>
              <w:left w:val="single" w:color="000000" w:sz="1"/>
              <w:bottom w:val="single" w:color="000000" w:sz="1"/>
              <w:right w:val="single" w:color="000000" w:sz="1"/>
            </w:tcBorders>
          </w:tcPr>
          <w:p>
            <w:pPr>
              <w:jc w:val="right"/>
            </w:pPr>
            <w:r>
              <w:t xml:space="preserve">2.30</w:t>
            </w:r>
          </w:p>
        </w:tc>
      </w:tr>
    </w:tbl>
    <w:p>
      <w:pPr>
        <w:spacing w:after="200"/>
      </w:pPr>
    </w:p>
    <w:p>
      <w:r>
        <w:br w:type="page"/>
      </w:r>
    </w:p>
    <w:p>
      <w:pPr>
        <w:pStyle w:val="sectionHeading"/>
        <w:spacing w:after="200"/>
        <w:jc w:val="center"/>
      </w:pPr>
      <w:r>
        <w:t xml:space="preserve">Ratio Analysis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Liquidity Ratios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Current Ratio</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2.29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2.64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Quick Ratio (Acid Test)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2.48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2.98</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Profitability Ratios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Gross Profit Ratio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36.79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39.42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39.13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38.87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38.63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Net Profit Ratio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21.59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23.43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23.66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23.83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23.89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Return on Capital Employed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182.60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124.39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88.20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68.71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54.03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Return on Equity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760.23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176.98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97.07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68.71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54.03</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Leverage Ratios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Debt-Equity Ratio</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7.16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0.49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0.25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0.18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Debt to Total Assets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38.37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25.71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11.14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8.89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Interest Coverage Ratio (Times)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16.32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11.72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18.71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25.54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Debt Service Coverage Ratio (DSCR)</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N.A.</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N.A.</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Solvency Ratios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Proprietary Ratio</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0.21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0.35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0.45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0.50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Solvency Ratio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3.43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8.91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TOL / TNW Ratio</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12.66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2.48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0.78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0.60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Fixed Asset Coverage Ratio</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Debt / EBITDA (x)</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0.80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0.43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0.32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0.29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Contribution Ratio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bl>
    <w:p>
      <w:pPr>
        <w:spacing w:after="400"/>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tcPr>
            <w:tcW w:type="pct" w:w="50%"/>
            <w:tcBorders>
              <w:top w:val="none"/>
              <w:left w:val="none"/>
              <w:bottom w:val="none"/>
              <w:right w:val="none"/>
            </w:tcBorders>
            <w:vAlign w:val="top"/>
          </w:tcPr>
          <w:p>
            <w:pPr>
              <w:pStyle w:val="Heading4"/>
              <w:spacing w:before="200" w:after="100"/>
              <w:jc w:val="center"/>
            </w:pPr>
            <w:r>
              <w:t xml:space="preserve">Liquidity Ratios</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Liquidity ratios monitor the firm's ability to settle short-term liabilities. The Current Ratio, starting at 1.51:1 and reaching 3.14:1 by the final year, indicates a healthy buffer of current assets. The Quick Ratio follows a similar positive trend, ensuring that the firm can meet its obligations even without relying on inventory liquidation.</w:t>
            </w:r>
          </w:p>
        </w:tc>
        <w:tc>
          <w:tcPr>
            <w:tcW w:type="pct" w:w="50%"/>
            <w:tcBorders>
              <w:top w:val="none"/>
              <w:left w:val="none"/>
              <w:bottom w:val="none"/>
              <w:right w:val="none"/>
            </w:tcBorders>
            <w:vAlign w:val="top"/>
          </w:tcPr>
          <w:p>
            <w:pPr>
              <w:pStyle w:val="Heading4"/>
              <w:spacing w:before="200" w:after="100"/>
              <w:jc w:val="center"/>
            </w:pPr>
            <w:r>
              <w:t xml:space="preserve">Profitability Ratios</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Profitability ratios reflect the operational efficiency of the project. The Gross Profit margin begins at 36.79%, while the Net Profit margin starts at 21.59%. The consistency or growth in these margins over the years demonstrates the firm's capability to manage costs and generate returns for the stakeholders.</w:t>
            </w:r>
          </w:p>
        </w:tc>
      </w:tr>
      <w:tr>
        <w:tc>
          <w:tcPr>
            <w:tcW w:type="pct" w:w="50%"/>
            <w:tcBorders>
              <w:top w:val="none"/>
              <w:left w:val="none"/>
              <w:bottom w:val="none"/>
              <w:right w:val="none"/>
            </w:tcBorders>
            <w:vAlign w:val="top"/>
          </w:tcPr>
          <w:p>
            <w:pPr>
              <w:pStyle w:val="Heading4"/>
              <w:spacing w:before="200" w:after="100"/>
              <w:jc w:val="center"/>
            </w:pPr>
            <w:r>
              <w:t xml:space="preserve">Solvency Ratios</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Solvency ratios provide a long-term perspective on the firm's health. They indicate the project's ability to sustain operations and meet long-term commitments, ensuring viability beyond the initial projection period.</w:t>
            </w:r>
          </w:p>
        </w:tc>
        <w:tc>
          <w:tcPr>
            <w:tcW w:type="pct" w:w="50%"/>
            <w:tcBorders>
              <w:top w:val="none"/>
              <w:left w:val="none"/>
              <w:bottom w:val="none"/>
              <w:right w:val="none"/>
            </w:tcBorders>
            <w:vAlign w:val="top"/>
          </w:tcPr>
          <w:p>
            <w:pPr>
              <w:pStyle w:val="Heading4"/>
              <w:spacing w:before="200" w:after="100"/>
              <w:jc w:val="center"/>
            </w:pPr>
            <w:r>
              <w:t xml:space="preserve">Leverage Ratios</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Leverage ratios evaluate the project's capital structure and dependence on debt. The Debt-Equity ratio of 7.16:1 in the initial year shows the balance between borrowed funds and owner's equity. A stable or decreasing ratio over time typically indicates a lower risk profile and greater financial independence.</w:t>
            </w:r>
          </w:p>
        </w:tc>
      </w:tr>
      <w:tr>
        <w:tc>
          <w:tcPr>
            <w:tcW w:type="pct" w:w="50%"/>
            <w:tcBorders>
              <w:top w:val="none"/>
              <w:left w:val="none"/>
              <w:bottom w:val="none"/>
              <w:right w:val="none"/>
            </w:tcBorders>
            <w:vAlign w:val="top"/>
          </w:tcPr>
          <w:p>
            <w:pPr>
              <w:pStyle w:val="Heading4"/>
              <w:spacing w:before="200" w:after="100"/>
              <w:jc w:val="center"/>
            </w:pPr>
            <w:r>
              <w:t xml:space="preserve">Working Capital Turnover</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Efficiency ratios (Turnover Ratios) indicate how effectively the firm is utilizing its assets. High turnover figures suggest optimal inventory management and efficient use of working capital, resulting in better overall productivity.</w:t>
            </w:r>
          </w:p>
        </w:tc>
        <w:tc>
          <w:tcPr>
            <w:tcW w:type="pct" w:w="50%"/>
            <w:tcBorders>
              <w:top w:val="none"/>
              <w:left w:val="none"/>
              <w:bottom w:val="none"/>
              <w:right w:val="none"/>
            </w:tcBorders>
            <w:vAlign w:val="top"/>
          </w:tcPr>
          <w:p>
            <w:pPr>
              <w:pStyle w:val="Heading4"/>
              <w:spacing w:before="200" w:after="100"/>
              <w:jc w:val="center"/>
            </w:pPr>
            <w:r>
              <w:t xml:space="preserve">Efficiency Ratios</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Efficiency ratios (Turnover Ratios) indicate how effectively the firm is utilizing its assets. High turnover figures suggest optimal inventory management and efficient use of working capital, resulting in better overall productivity.</w:t>
            </w:r>
          </w:p>
        </w:tc>
      </w:tr>
    </w:tbl>
    <w:p>
      <w:r>
        <w:br w:type="page"/>
      </w:r>
    </w:p>
    <w:p>
      <w:pPr>
        <w:pStyle w:val="sectionHeading"/>
        <w:spacing w:after="200"/>
        <w:jc w:val="center"/>
      </w:pPr>
      <w:r>
        <w:t xml:space="preserve">DSCR</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Receipts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a).Net Profit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7,60,225.52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9,03,002.52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9,98,125.90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11,01,294.31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12,09,384.32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b).Depreciation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56,250.00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48,712.50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42,215.62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36,612.28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c).Interest on termloan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49,615.24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40,260.61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29,823.47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18,178.57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5,285.77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8,74,840.76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9,99,513.13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10,76,661.87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11,61,688.50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12,51,282.37</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Repayments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a).Loan Principal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80,839.30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90,193.93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1,00,631.06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1,12,275.97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1,03,426.34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b).Interest on termloan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49,615.24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40,260.61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29,823.47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18,178.57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5,285.77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Total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1,30,454.54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1,30,454.54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1,30,454.54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1,30,454.54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1,08,712.12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DSCR</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6.71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7.66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8.25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8.90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11.51</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Average DSCR</w:t>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8.61</w:t>
            </w:r>
          </w:p>
        </w:tc>
      </w:tr>
    </w:tbl>
    <w:p>
      <w:pPr>
        <w:spacing w:after="400"/>
      </w:pP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tcPr>
            <w:tcW w:type="pct" w:w="50%"/>
            <w:tcBorders>
              <w:top w:val="none"/>
              <w:left w:val="none"/>
              <w:bottom w:val="none"/>
              <w:right w:val="none"/>
            </w:tcBorders>
            <w:vAlign w:val="top"/>
          </w:tcPr>
          <w:p>
            <w:pPr>
              <w:pStyle w:val="Heading4"/>
              <w:spacing w:before="200" w:after="100"/>
              <w:jc w:val="center"/>
            </w:pPr>
            <w:r>
              <w:t xml:space="preserve">Dscr</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The Debt Service Coverage Ratio (DSCR) is a primary indicator of debt-repayment capacity. With an average DSCR of 8.61 over the 5-year period, the project demonstrates a strong ability to generate sufficient cash flows to meet both interest and principal obligations comfortably.</w:t>
            </w:r>
          </w:p>
        </w:tc>
        <w:tc>
          <w:tcPr>
            <w:tcW w:type="pct" w:w="50%"/>
            <w:tcBorders>
              <w:top w:val="none"/>
              <w:left w:val="none"/>
              <w:bottom w:val="none"/>
              <w:right w:val="none"/>
            </w:tcBorders>
            <w:vAlign w:val="top"/>
          </w:tcPr>
          <w:p>
            <w:pPr>
              <w:pStyle w:val="Heading4"/>
              <w:spacing w:before="200" w:after="100"/>
              <w:jc w:val="center"/>
            </w:pPr>
            <w:r>
              <w:t xml:space="preserve">Balance Sheet Strength</w:t>
            </w:r>
          </w:p>
          <w:p>
            <w:pPr>
              <w:jc w:val="center"/>
            </w:pPr>
            <w:r>
              <w:drawing>
                <wp:inline distT="0" distB="0" distL="0" distR="0">
                  <wp:extent cx="2381250" cy="1190625"/>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381250" cy="1190625"/>
                          </a:xfrm>
                          <a:prstGeom prst="rect">
                            <a:avLst/>
                          </a:prstGeom>
                        </pic:spPr>
                      </pic:pic>
                    </a:graphicData>
                  </a:graphic>
                </wp:inline>
              </w:drawing>
            </w:r>
          </w:p>
          <w:p>
            <w:pPr>
              <w:spacing w:before="100"/>
              <w:jc w:val="left"/>
            </w:pPr>
            <w:r>
              <w:rPr>
                <w:b/>
                <w:bCs/>
                <w:sz w:val="18"/>
                <w:szCs w:val="18"/>
              </w:rPr>
              <w:t xml:space="preserve">Analysis: </w:t>
            </w:r>
          </w:p>
          <w:p>
            <w:pPr>
              <w:spacing w:after="100"/>
              <w:jc w:val="both"/>
            </w:pPr>
            <w:r>
              <w:rPr>
                <w:sz w:val="18"/>
                <w:szCs w:val="18"/>
              </w:rPr>
              <w:t xml:space="preserve">The Balance Sheet Strength chart illustrates the growth of Total Assets and Tangible Net Worth (TNW) over the projection period. In FY 2026-27, Total Assets are projected at 18,66,752.83 alongside a Tangible Net Worth of 5,10,225.52. By FY 2030-31, these are expected to reach 44,98,256.60 and 29,35,247.57 respectively. This trend signifies a strengthening financial position and increasing equity cushion for the firm.</w:t>
            </w:r>
          </w:p>
        </w:tc>
      </w:tr>
    </w:tbl>
    <w:p>
      <w:r>
        <w:br w:type="page"/>
      </w:r>
    </w:p>
    <w:p>
      <w:pPr>
        <w:pStyle w:val="sectionHeading"/>
        <w:spacing w:after="200" w:before="400"/>
        <w:jc w:val="center"/>
      </w:pPr>
      <w:r>
        <w:t xml:space="preserve">Executive Summary</w:t>
      </w:r>
    </w:p>
    <w:p>
      <w:pPr>
        <w:pStyle w:val="Default"/>
        <w:spacing w:after="120"/>
        <w:jc w:val="both"/>
      </w:pPr>
      <w:r>
        <w:t xml:space="preserve">This Project Report outlines the establishment of a new rice mill by PIYUSH VISHWAKARMA in Ganj Basoda. PIYUSH VISHWAKARMA, a proprietorship, aims to capitalize on the growing demand for processed rice in the region and beyond. The project, aptly named 'RICE MILL', seeks to create a modern rice processing facility equipped with advanced technology to ensure high-quality output and efficient operations. The primary objectives are to establish a commercially viable rice mill, produce high-quality rice products, generate employment opportunities, and contribute to the agricultural economy of the region. Key highlights include a detailed market analysis, a comprehensive operational plan, a thorough financial projection demonstrating viability, and a robust risk assessment and mitigation strategy.</w:t>
      </w:r>
    </w:p>
    <w:p>
      <w:pPr>
        <w:spacing w:after="200"/>
      </w:pPr>
    </w:p>
    <w:p>
      <w:pPr>
        <w:pStyle w:val="sectionHeading"/>
        <w:spacing w:after="200" w:before="400"/>
        <w:jc w:val="center"/>
      </w:pPr>
      <w:r>
        <w:t xml:space="preserve">Company Background</w:t>
      </w:r>
    </w:p>
    <w:p>
      <w:pPr>
        <w:pStyle w:val="Default"/>
        <w:spacing w:after="120"/>
        <w:jc w:val="both"/>
      </w:pPr>
      <w:r>
        <w:t xml:space="preserve">PIYUSH VISHWAKARMA, operating as a proprietorship, is based in Ganj Basoda. While a relatively new entity, PIYUSH VISHWAKARMA possesses a strong understanding of the local agricultural landscape and the rice trading industry. The proprietor's experience and network within the farming community will be instrumental in securing a reliable supply of paddy. The company's vision is to become a trusted and reliable supplier of high-quality rice products to both local and regional markets. This project represents the firm's commitment to investing in modern infrastructure and technology to enhance its operational capabilities and market competitiveness. The selection of Ganj Basoda as the location is strategic, given its proximity to rice-growing regions and its accessibility to transportation networks.</w:t>
      </w:r>
    </w:p>
    <w:p>
      <w:pPr>
        <w:spacing w:after="200"/>
      </w:pPr>
    </w:p>
    <w:p>
      <w:pPr>
        <w:pStyle w:val="sectionHeading"/>
        <w:spacing w:after="200" w:before="400"/>
        <w:jc w:val="center"/>
      </w:pPr>
      <w:r>
        <w:t xml:space="preserve">Project Scope and Objectives</w:t>
      </w:r>
    </w:p>
    <w:p>
      <w:pPr>
        <w:pStyle w:val="Default"/>
        <w:spacing w:after="120"/>
        <w:jc w:val="both"/>
      </w:pPr>
      <w:r>
        <w:t xml:space="preserve">The RICE MILL project encompasses the establishment of a complete rice processing facility, from paddy procurement to packaging and distribution of finished rice products. The scope includes land acquisition (if necessary), construction of the mill building, installation of machinery and equipment, establishment of a quality control laboratory, and development of a distribution network. The primary objectives are to: (1) Achieve a processing capacity of  within the first year of operation; (2) Produce rice that meets or exceeds industry quality standards; (3) Establish a strong brand reputation for quality and reliability; (4) Generate a positive return on investment within ; and (5) Create sustainable employment opportunities for the local community.</w:t>
      </w:r>
    </w:p>
    <w:p>
      <w:pPr>
        <w:spacing w:after="200"/>
      </w:pPr>
    </w:p>
    <w:p>
      <w:pPr>
        <w:pStyle w:val="sectionHeading"/>
        <w:spacing w:after="200" w:before="400"/>
        <w:jc w:val="center"/>
      </w:pPr>
      <w:r>
        <w:t xml:space="preserve">Technical Specifications and Methodology</w:t>
      </w:r>
    </w:p>
    <w:p>
      <w:pPr>
        <w:pStyle w:val="Default"/>
        <w:spacing w:after="120"/>
        <w:jc w:val="both"/>
      </w:pPr>
      <w:r>
        <w:t xml:space="preserve">The rice mill will incorporate modern processing technology to ensure efficiency and quality. The key equipment will include paddy cleaners, de-huskers, polishers, graders, and packaging machines. The selection of equipment will prioritize energy efficiency, minimal waste generation, and ease of maintenance. The processing methodology will involve a multi-stage process: cleaning and pre-treatment of paddy, de-husking to remove the outer shell, polishing to enhance the appearance and texture of the rice, grading to separate rice grains based on size and quality, and finally, packaging to preserve freshness and prevent contamination. A quality control laboratory will be established to monitor the quality of paddy and finished rice at each stage of the process, ensuring compliance with established standards.</w:t>
      </w:r>
    </w:p>
    <w:p>
      <w:pPr>
        <w:spacing w:after="200"/>
      </w:pPr>
    </w:p>
    <w:p>
      <w:pPr>
        <w:pStyle w:val="sectionHeading"/>
        <w:spacing w:after="200" w:before="400"/>
        <w:jc w:val="center"/>
      </w:pPr>
      <w:r>
        <w:t xml:space="preserve">Operational Plan</w:t>
      </w:r>
    </w:p>
    <w:p>
      <w:pPr>
        <w:pStyle w:val="Default"/>
        <w:spacing w:after="120"/>
        <w:jc w:val="both"/>
      </w:pPr>
      <w:r>
        <w:t xml:space="preserve">The operational plan covers all aspects of the rice mill's daily functioning. This includes paddy procurement, processing, quality control, packaging, storage, and distribution. Paddy will be sourced directly from local farmers and through established agricultural suppliers. A robust inventory management system will be implemented to minimize storage losses and ensure a consistent supply of raw materials. The mill will operate on a . The workforce will consist of skilled machine operators, quality control technicians, packaging staff, and administrative personnel. A comprehensive training program will be developed to ensure that all employees are proficient in their respective roles and responsibilities. The operational plan also includes a detailed maintenance schedule for all machinery and equipment to minimize downtime and ensure optimal performance.</w:t>
      </w:r>
    </w:p>
    <w:p>
      <w:pPr>
        <w:spacing w:after="200"/>
      </w:pPr>
    </w:p>
    <w:p>
      <w:pPr>
        <w:pStyle w:val="sectionHeading"/>
        <w:spacing w:after="200" w:before="400"/>
        <w:jc w:val="center"/>
      </w:pPr>
      <w:r>
        <w:t xml:space="preserve">Market Analysis and Opportunity</w:t>
      </w:r>
    </w:p>
    <w:p>
      <w:pPr>
        <w:pStyle w:val="Default"/>
        <w:spacing w:after="120"/>
        <w:jc w:val="both"/>
      </w:pPr>
      <w:r>
        <w:t xml:space="preserve">The market for processed rice is substantial and growing, driven by increasing population and changing dietary preferences. The demand for high-quality rice is particularly strong in urban areas and export markets. PIYUSH VISHWAKARMA is strategically positioned to capitalize on this opportunity by producing rice that meets the specific needs of target markets. The company will conduct thorough market research to identify consumer preferences, pricing trends, and competitive dynamics. The marketing strategy will focus on building brand awareness, establishing strong relationships with distributors and retailers, and promoting the quality and nutritional value of the rice. Competitive advantages include the mill's modern technology, its proximity to paddy-growing regions, and its commitment to quality and customer satisfaction.</w:t>
      </w:r>
    </w:p>
    <w:p>
      <w:pPr>
        <w:spacing w:after="200"/>
      </w:pPr>
    </w:p>
    <w:p>
      <w:pPr>
        <w:pStyle w:val="sectionHeading"/>
        <w:spacing w:after="200" w:before="400"/>
        <w:jc w:val="center"/>
      </w:pPr>
      <w:r>
        <w:t xml:space="preserve">Financial Analysis</w:t>
      </w:r>
    </w:p>
    <w:p>
      <w:pPr>
        <w:pStyle w:val="Default"/>
        <w:spacing w:after="120"/>
        <w:jc w:val="both"/>
      </w:pPr>
      <w:r>
        <w:t xml:space="preserve">The total project cost is estimated at INR 1,000,000. This includes the cost of land (if applicable), building construction, machinery and equipment, working capital, and pre-operative expenses. The loan amount being requested is INR 500,000. The remaining funds will be sourced from the proprietor's personal savings and potentially from other financial institutions. Detailed financial projections, including income statements, balance sheets, and cash flow statements, have been prepared for the next five years (2026 onwards). These projections demonstrate the project's financial viability and its ability to generate sufficient revenue to repay the loan and provide a reasonable return on investment. Key financial indicators include a positive net present value (NPV), a favorable internal rate of return (IRR), and a manageable debt-service coverage ratio (DSCR).</w:t>
      </w:r>
    </w:p>
    <w:p>
      <w:pPr>
        <w:spacing w:after="200"/>
      </w:pPr>
    </w:p>
    <w:p>
      <w:pPr>
        <w:pStyle w:val="sectionHeading"/>
        <w:spacing w:after="200" w:before="400"/>
        <w:jc w:val="center"/>
      </w:pPr>
      <w:r>
        <w:t xml:space="preserve">Conclusion and Recommendations</w:t>
      </w:r>
    </w:p>
    <w:p>
      <w:pPr>
        <w:pStyle w:val="Default"/>
        <w:spacing w:after="120"/>
        <w:jc w:val="both"/>
      </w:pPr>
      <w:r>
        <w:t xml:space="preserve">The RICE MILL project represents a viable and promising investment opportunity for PIYUSH VISHWAKARMA. The project aligns with the company's vision of becoming a leading supplier of high-quality rice products. The market analysis indicates a strong demand for processed rice, and the operational plan outlines a clear path to achieving efficient and profitable operations. The financial projections demonstrate the project's financial viability and its ability to generate a positive return on investment. It is recommended that PIYUSH VISHWAKARMA proceed with the implementation of the project, securing the necessary financing and adhering to the planned timeline. Continuous monitoring of market conditions, operational performance, and financial results is essential to ensure the project's long-term success.</w:t>
      </w:r>
    </w:p>
    <w:p>
      <w:pPr>
        <w:spacing w:after="200"/>
      </w:pPr>
    </w:p>
    <w:p>
      <w:r>
        <w:br w:type="page"/>
      </w:r>
    </w:p>
    <w:p>
      <w:pPr>
        <w:pStyle w:val="sectionHeading"/>
        <w:spacing w:after="200"/>
        <w:jc w:val="center"/>
      </w:pPr>
      <w:r>
        <w:t xml:space="preserve">Revenue &amp; expenses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60"/>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6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Monthly Amount</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Sales &amp; Revenue</w:t>
            </w:r>
          </w:p>
        </w:tc>
        <w:tc>
          <w:tcPr>
            <w:tcW w:type="pct" w:w="6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Sales of Goods</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2,76,800.00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Sales of Service</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16,666.67</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Sales Revenue</w:t>
            </w:r>
          </w:p>
        </w:tc>
        <w:tc>
          <w:tcPr>
            <w:tcW w:type="pct" w:w="60%"/>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2,93,466.67</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Purchases</w:t>
            </w:r>
          </w:p>
        </w:tc>
        <w:tc>
          <w:tcPr>
            <w:tcW w:type="pct" w:w="6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Purchase of Goods</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1,98,000.00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Purchases</w:t>
            </w:r>
          </w:p>
        </w:tc>
        <w:tc>
          <w:tcPr>
            <w:tcW w:type="pct" w:w="60%"/>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1,98,000.00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Administrative Expenses</w:t>
            </w:r>
          </w:p>
        </w:tc>
        <w:tc>
          <w:tcPr>
            <w:tcW w:type="pct" w:w="6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Salaries &amp; Wages</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Rent</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Utilities (Electricity, Water, etc.)</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Office Supplies &amp; Stationery</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2,083.33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Communication (Phone, Internet)</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Travel &amp; Conveyance</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Repairs &amp; Maintenance</w:t>
            </w:r>
          </w:p>
        </w:tc>
        <w:tc>
          <w:tcPr>
            <w:tcW w:type="pct" w:w="60%"/>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Administrative Expenses</w:t>
            </w:r>
          </w:p>
        </w:tc>
        <w:tc>
          <w:tcPr>
            <w:tcW w:type="pct" w:w="60%"/>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33,483.33</w:t>
            </w:r>
          </w:p>
        </w:tc>
      </w:tr>
    </w:tbl>
    <w:p>
      <w:pPr>
        <w:spacing w:after="400"/>
      </w:pPr>
    </w:p>
    <w:p>
      <w:r>
        <w:br w:type="page"/>
      </w:r>
    </w:p>
    <w:p>
      <w:pPr>
        <w:pStyle w:val="sectionHeading"/>
        <w:spacing w:after="200"/>
        <w:jc w:val="center"/>
      </w:pPr>
      <w:r>
        <w:t xml:space="preserve">Profit &amp; Loss Account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SALES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Sales of Goods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33,21,600.00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36,53,760.00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40,19,136.00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44,21,049.60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48,63,154.56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Sales of Service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2,00,000.04</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Sales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35,21,600.00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38,53,760.04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42,19,136.04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46,21,049.64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50,63,154.60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Closing Stock</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1,81,500.00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1,99,650.00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2,19,615.00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Opening Stock</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1,81,500.00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1,99,650.00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PURCHASES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Purchase of Goods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23,76,000.00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23,49,600.00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25,84,560.00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28,43,016.00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31,27,317.60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Purchases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23,76,000.00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23,49,600.00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25,84,560.00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28,43,016.00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31,27,317.60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DIRECT EXPENSES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GROSS PROFIT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12,95,600.00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15,19,160.04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16,51,076.04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17,96,183.64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19,55,802.00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INDIRECT EXPENSES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Salaries &amp; Wages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1,98,000.00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2,17,800.00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2,39,580.00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2,63,538.00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Rent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72,000.00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79,200.00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87,120.00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95,832.00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1,05,415.20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Utilities (Electricity, Water, etc.)</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33,000.00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36,300.00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39,930.00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43,923.00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Office Supplies &amp; Stationery</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27,499.96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30,249.96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33,274.96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36,602.46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Communication (Phone, Internet)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10,800.00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11,880.00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13,068.00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14,374.80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15,812.28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Travel &amp; Conveyance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66,000.00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72,600.00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79,860.00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87,846.00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Repairs &amp; Maintenance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26,400.00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29,040.00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31,944.00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35,138.40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56,250.00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48,712.50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42,215.63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36,612.28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Interest on WCL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Interest on TL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49,615.24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40,260.61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29,823.47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18,178.57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5,285.77</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Indirect Expenses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5,16,415.24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5,82,490.57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6,08,713.93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6,39,189.96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6,74,173.39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Profit Before Tax</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7,79,184.76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9,36,669.47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10,42,362.11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11,56,993.68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12,81,628.61</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  Provision for Income Tax (20%)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18,959.24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33,666.95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44,236.21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55,699.37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72,244.29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NET PROFIT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7,60,225.52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9,03,002.52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9,98,125.90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11,01,294.31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12,09,384.32</w:t>
            </w:r>
          </w:p>
        </w:tc>
      </w:tr>
    </w:tbl>
    <w:p>
      <w:pPr>
        <w:spacing w:after="400"/>
      </w:pPr>
    </w:p>
    <w:p>
      <w:r>
        <w:br w:type="page"/>
      </w:r>
    </w:p>
    <w:p>
      <w:pPr>
        <w:pStyle w:val="sectionHeading"/>
        <w:spacing w:after="200"/>
        <w:jc w:val="center"/>
      </w:pPr>
      <w:r>
        <w:t xml:space="preserve">Cash Flow Statement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Cash Inflow</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Capital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Subsidy</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Termloan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Working Capital 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Current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1,02,000.00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Non-Current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Non-Term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2,11,009.03</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Other 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1,99,664.97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39,027.62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Non-Current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Investments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Profit before tax with interest</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8,28,800.00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10,20,930.08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11,16,185.58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12,19,172.25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13,30,914.38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Depreciation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56,250.00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48,712.50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42,215.63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36,612.28</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Cash Inflow</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24,43,800.00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13,76,845.05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13,03,925.70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13,61,387.88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16,80,535.69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Cash Outflow</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Fixed Assets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4,20,192.59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19,965.00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Non-Current Assets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Increase in Investments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Interest on TL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49,615.24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40,260.61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29,823.47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18,178.57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5,285.77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Interest on WCL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44,000.00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Term 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80,839.30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90,193.93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1,00,631.06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1,12,275.97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1,03,426.34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Working Capital 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Drawing</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4,23,500.00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4,65,850.00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5,12,435.00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Provision for Income Tax</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18,959.24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33,666.95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44,236.21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55,699.37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72,244.29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Current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Non-Current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Other 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Decrease in Non-Term Liabilities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Cash Outflow</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14,19,606.37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5,93,121.49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6,42,190.74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7,14,153.91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7,57,356.40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Opening balance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10,11,560.24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17,95,283.80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24,57,018.75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31,04,252.72</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Net Cashflow</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10,11,560.24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7,83,723.56</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6,61,734.95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6,47,233.97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9,23,179.28</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Closing balance</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10,11,560.24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17,95,283.80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24,57,018.75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31,04,252.72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40,27,432.00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Difference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12,633.39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0.01</w:t>
            </w:r>
          </w:p>
        </w:tc>
      </w:tr>
    </w:tbl>
    <w:p>
      <w:pPr>
        <w:spacing w:after="400"/>
      </w:pPr>
    </w:p>
    <w:p>
      <w:r>
        <w:br w:type="page"/>
      </w:r>
    </w:p>
    <w:p>
      <w:pPr>
        <w:pStyle w:val="sectionHeading"/>
        <w:spacing w:after="200"/>
        <w:jc w:val="center"/>
      </w:pPr>
      <w:r>
        <w:t xml:space="preserve">Balance Sheet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CAPITAL ACCOUNT</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Capital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5,10,225.52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10,28,228.04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16,02,853.94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22,38,298.25</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Profit &amp; Loss A/c</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7,60,225.52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9,03,002.52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9,98,125.90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11,01,294.31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12,09,384.32</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Drawings (Withdrawal)</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4,23,500.00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4,65,850.00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5,12,435.00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NET WORTH</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5,10,225.52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10,28,228.04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16,02,853.94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22,38,298.25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29,35,247.57</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LOAN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Working Capital 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4,00,000.00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LOAN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4,00,000.00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CURRENT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Sundry Creditor (Trade)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7,50,000.00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8,50,000.00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9,52,000.00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CURRENT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5,50,000.00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6,50,000.00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7,50,000.00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8,50,000.00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9,52,000.00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TERM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Term 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3,16,333.38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2,15,702.32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1,03,426.34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Current Portion of Term Loan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90,193.93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1,00,631.06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1,12,275.97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1,03,426.34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TERM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4,06,527.31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3,16,333.38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2,15,702.31</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1,03,426.34</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NON TERM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Non Term Liability</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2,11,009.03</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NON TERM LIABILITIES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2,11,009.03</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NON CURRENT LIABILITIES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EQUITY + LIABILITY</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18,66,752.83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23,94,561.42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29,68,556.25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35,91,724.59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44,98,256.60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FIXED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Gross Block</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4,35,000.00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3,78,750.00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3,30,037.50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2,87,821.88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Depreciation to date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56,250.00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48,712.50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42,215.63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36,612.28</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NET BLOCK</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4,35,000.00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3,78,750.00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3,30,037.50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2,87,821.87</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2,51,209.60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Cash &amp; Cash Equivalents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10,11,560.24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17,95,283.80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24,57,018.75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31,04,252.72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40,27,432.00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Inventory</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1,81,500.00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1,99,650.00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2,19,615.00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Sundry Debtors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2,70,192.59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55,527.62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CURRENT ASSETS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14,31,752.83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20,15,811.42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26,38,518.75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33,03,902.72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42,47,047.00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NON CURRENT ASSETS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ASSETS</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18,66,752.83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23,94,561.42</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29,68,556.25</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35,91,724.59</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44,98,256.60</w:t>
            </w:r>
          </w:p>
        </w:tc>
      </w:tr>
    </w:tbl>
    <w:p>
      <w:pPr>
        <w:spacing w:after="400"/>
      </w:pPr>
    </w:p>
    <w:p>
      <w:r>
        <w:br w:type="page"/>
      </w:r>
    </w:p>
    <w:p>
      <w:pPr>
        <w:pStyle w:val="sectionHeading"/>
        <w:spacing w:after="200"/>
        <w:jc w:val="center"/>
      </w:pPr>
      <w:r>
        <w:t xml:space="preserve">Depreciation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Furniture &amp; Fixtures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1,62,000.00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1,45,800.00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1,31,220.00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16,200.00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14,580.00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13,122.00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1,62,000.00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1,45,800.00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1,31,220.00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1,18,098.00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Plant &amp; Machinery</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2,16,750.00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1,84,237.50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1,56,601.88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Total During the Year</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3,00,000.00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Less Depreciation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38,250.00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32,512.50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27,635.63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23,490.28</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Written down value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2,55,000.00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2,16,750.00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1,84,237.50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1,56,601.88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1,33,111.60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Opening</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4,35,000.00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3,78,750.00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3,30,037.50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2,87,821.88</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During the Year</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5,00,000.00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0.00</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Gross Block</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5,00,000.00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4,35,000.00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3,78,750.00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3,30,037.50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2,87,821.88</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less depreciation</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65,000.00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56,250.00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48,712.50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42,215.63</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36,612.28</w:t>
            </w:r>
          </w:p>
        </w:tc>
      </w:tr>
      <w:tr>
        <w:trPr>
          <w:trHeight w:val="300" w:hRule="atLeast"/>
        </w:trPr>
        <w:tc>
          <w:tcPr>
            <w:tcW w:type="pct" w:w="40%"/>
            <w:tcBorders>
              <w:top w:val="single" w:color="000000" w:sz="1"/>
              <w:left w:val="single" w:color="000000" w:sz="1"/>
              <w:bottom w:val="single" w:color="000000" w:sz="1"/>
              <w:right w:val="single" w:color="000000" w:sz="1"/>
            </w:tcBorders>
            <w:shd w:fill="677b98" w:color="677b98" w:val="solid"/>
            <w:vAlign w:val="center"/>
          </w:tcPr>
          <w:p>
            <w:pPr>
              <w:pStyle w:val="Default"/>
              <w:jc w:val="left"/>
            </w:pPr>
            <w:r>
              <w:rPr>
                <w:b/>
                <w:bCs/>
                <w:color w:val="FFFFFF"/>
              </w:rPr>
              <w:t xml:space="preserve">Total written down value</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4,35,000.00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3,78,750.00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3,30,037.50</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2,87,821.88</w:t>
            </w:r>
          </w:p>
        </w:tc>
        <w:tc>
          <w:tcPr>
            <w:tcW w:type="pct" w:w="12%"/>
            <w:tcBorders>
              <w:top w:val="single" w:color="000000" w:sz="1"/>
              <w:left w:val="single" w:color="000000" w:sz="1"/>
              <w:bottom w:val="single" w:color="000000" w:sz="1"/>
              <w:right w:val="single" w:color="000000" w:sz="1"/>
            </w:tcBorders>
            <w:shd w:fill="677b98" w:color="677b98" w:val="solid"/>
            <w:vAlign w:val="center"/>
          </w:tcPr>
          <w:p>
            <w:pPr>
              <w:pStyle w:val="Default"/>
              <w:jc w:val="right"/>
            </w:pPr>
            <w:r>
              <w:rPr>
                <w:b w:val="false"/>
                <w:bCs w:val="false"/>
                <w:color w:val="FFFFFF"/>
              </w:rPr>
              <w:t xml:space="preserve">2,51,209.60</w:t>
            </w:r>
          </w:p>
        </w:tc>
      </w:tr>
    </w:tbl>
    <w:p>
      <w:pPr>
        <w:spacing w:after="400"/>
      </w:pPr>
    </w:p>
    <w:p>
      <w:r>
        <w:br w:type="page"/>
      </w:r>
    </w:p>
    <w:p>
      <w:pPr>
        <w:pStyle w:val="sectionHeading"/>
        <w:spacing w:after="200"/>
        <w:jc w:val="center"/>
      </w:pPr>
      <w:r>
        <w:t xml:space="preserve">Breakeven Point</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40"/>
        <w:gridCol w:w="12"/>
        <w:gridCol w:w="12"/>
        <w:gridCol w:w="12"/>
        <w:gridCol w:w="12"/>
        <w:gridCol w:w="12"/>
      </w:tblGrid>
      <w:tr>
        <w:trPr>
          <w:tblHeader/>
          <w:trHeight w:val="6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Particulars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2026-2027</w:t>
            </w:r>
          </w:p>
          <w:p>
            <w:pPr>
              <w:pStyle w:val="TableHeaderStyle"/>
              <w:jc w:val="center"/>
            </w:pPr>
            <w:r>
              <w:rPr>
                <w:b/>
                <w:bCs/>
                <w:color w:val="FFFFFF"/>
              </w:rPr>
              <w:t xml:space="preserve">(estimated)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2027-2028</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2028-2029</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2029-2030</w:t>
            </w:r>
          </w:p>
          <w:p>
            <w:pPr>
              <w:pStyle w:val="TableHeaderStyle"/>
              <w:jc w:val="center"/>
            </w:pPr>
            <w:r>
              <w:rPr>
                <w:b/>
                <w:bCs/>
                <w:color w:val="FFFFFF"/>
              </w:rPr>
              <w:t xml:space="preserve">(projected)</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2030-2031</w:t>
            </w:r>
          </w:p>
          <w:p>
            <w:pPr>
              <w:pStyle w:val="TableHeaderStyle"/>
              <w:jc w:val="center"/>
            </w:pPr>
            <w:r>
              <w:rPr>
                <w:b/>
                <w:bCs/>
                <w:color w:val="FFFFFF"/>
              </w:rPr>
              <w:t xml:space="preserve">(projected)</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Sales Analysis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Total Sales Revenue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35,21,600.00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38,53,760.04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42,19,136.04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46,21,049.64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50,63,154.60</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Cost Analysis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Fixed Costs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5,16,415.24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5,82,490.57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6,08,713.93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6,39,189.96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6,74,173.39</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Variable Costs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22,26,000.00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23,34,600.00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25,68,060.00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28,24,866.00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31,07,352.60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  Total Costs</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27,42,415.24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29,17,090.57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31,76,773.93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34,64,055.96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37,81,525.99</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Contribution Analysis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Contribution Margin</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12,95,600.00</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15,19,160.04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16,51,076.04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17,96,183.64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19,55,802.00</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Contribution Ratio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36.79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39.42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39.13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38.87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38.63</w:t>
            </w:r>
          </w:p>
        </w:tc>
      </w:tr>
      <w:tr>
        <w:trPr>
          <w:trHeight w:val="300" w:hRule="atLeast"/>
        </w:trPr>
        <w:tc>
          <w:tcPr>
            <w:tcW w:type="pct" w:w="40%"/>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bCs/>
                <w:color w:val="FFFFFF"/>
              </w:rPr>
              <w:t xml:space="preserve">Break-Even Analysis</w:t>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c>
          <w:tcPr>
            <w:tcW w:type="pct" w:w="12%"/>
            <w:tcBorders>
              <w:top w:val="single" w:color="000000" w:sz="1"/>
              <w:left w:val="single" w:color="000000" w:sz="1"/>
              <w:bottom w:val="single" w:color="000000" w:sz="1"/>
              <w:right w:val="single" w:color="000000" w:sz="1"/>
            </w:tcBorders>
            <w:shd w:fill="475569" w:color="475569" w:val="solid"/>
            <w:vAlign w:val="center"/>
          </w:tcPr>
          <w:p>
            <w:pPr>
              <w:pStyle w:val="Default"/>
              <w:jc w:val="left"/>
            </w:pPr>
            <w:r>
              <w:rPr>
                <w:b w:val="false"/>
                <w:bCs w:val="false"/>
                <w:color w:val="FFFFFF"/>
              </w:rPr>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Break-even Value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14,03,680.08</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14,77,644.77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15,55,498.85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16,44,446.85</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17,45,291.24</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  Break-even Point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39.86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38.34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36.87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35.59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34.47</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val="false"/>
                <w:bCs w:val="false"/>
                <w:color w:val="000000"/>
              </w:rPr>
              <w:t xml:space="preserve">  Margin of Safety (Value)</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21,17,919.92</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23,76,115.27</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26,63,637.19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29,76,602.79</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33,17,863.36</w:t>
            </w:r>
          </w:p>
        </w:tc>
      </w:tr>
      <w:tr>
        <w:trPr>
          <w:trHeight w:val="300" w:hRule="atLeast"/>
        </w:trPr>
        <w:tc>
          <w:tcPr>
            <w:tcW w:type="pct" w:w="40%"/>
            <w:tcBorders>
              <w:top w:val="single" w:color="000000" w:sz="1"/>
              <w:left w:val="single" w:color="000000" w:sz="1"/>
              <w:bottom w:val="single" w:color="000000" w:sz="1"/>
              <w:right w:val="single" w:color="000000" w:sz="1"/>
            </w:tcBorders>
            <w:vAlign w:val="center"/>
          </w:tcPr>
          <w:p>
            <w:pPr>
              <w:pStyle w:val="Default"/>
              <w:jc w:val="left"/>
            </w:pPr>
            <w:r>
              <w:rPr>
                <w:b/>
                <w:bCs/>
                <w:color w:val="000000"/>
              </w:rPr>
              <w:t xml:space="preserve">  Margin of Safety (%)</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60.14</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61.66</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63.13</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64.41</w:t>
            </w:r>
          </w:p>
        </w:tc>
        <w:tc>
          <w:tcPr>
            <w:tcW w:type="pct" w:w="12%"/>
            <w:tcBorders>
              <w:top w:val="single" w:color="000000" w:sz="1"/>
              <w:left w:val="single" w:color="000000" w:sz="1"/>
              <w:bottom w:val="single" w:color="000000" w:sz="1"/>
              <w:right w:val="single" w:color="000000" w:sz="1"/>
            </w:tcBorders>
            <w:vAlign w:val="center"/>
          </w:tcPr>
          <w:p>
            <w:pPr>
              <w:pStyle w:val="Default"/>
              <w:jc w:val="right"/>
            </w:pPr>
            <w:r>
              <w:rPr>
                <w:b w:val="false"/>
                <w:bCs w:val="false"/>
                <w:color w:val="000000"/>
              </w:rPr>
              <w:t xml:space="preserve">65.53</w:t>
            </w:r>
          </w:p>
        </w:tc>
      </w:tr>
    </w:tbl>
    <w:p>
      <w:pPr>
        <w:spacing w:after="400"/>
      </w:pPr>
    </w:p>
    <w:p>
      <w:r>
        <w:br w:type="page"/>
      </w:r>
    </w:p>
    <w:p>
      <w:pPr>
        <w:pStyle w:val="sectionHeading"/>
        <w:spacing w:after="200"/>
        <w:jc w:val="center"/>
      </w:pPr>
      <w:r>
        <w:t xml:space="preserve">EMI Repayment Schedule for Term Loan</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gridCol w:w="100"/>
        <w:gridCol w:w="100"/>
      </w:tblGrid>
      <w:tr>
        <w:trPr>
          <w:tblHeader/>
          <w:trHeight w:val="400" w:hRule="atLeast"/>
        </w:trPr>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Month</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Payment Date</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Opening Bal.</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EMI</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Principal</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Interest</w:t>
            </w:r>
          </w:p>
        </w:tc>
        <w:tc>
          <w:tcPr>
            <w:tcBorders>
              <w:top w:val="single" w:color="000000" w:sz="1"/>
              <w:left w:val="single" w:color="000000" w:sz="1"/>
              <w:bottom w:val="single" w:color="000000" w:sz="1"/>
              <w:right w:val="single" w:color="000000" w:sz="1"/>
            </w:tcBorders>
            <w:shd w:fill="475569" w:color="475569" w:val="solid"/>
            <w:vAlign w:val="center"/>
          </w:tcPr>
          <w:p>
            <w:pPr>
              <w:pStyle w:val="TableHeaderStyle"/>
              <w:jc w:val="center"/>
            </w:pPr>
            <w:r>
              <w:rPr>
                <w:b/>
                <w:bCs/>
                <w:color w:val="FFFFFF"/>
              </w:rPr>
              <w:t xml:space="preserve">Closing Bal.</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5,00,000.00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6,287.88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4,583.33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4,93,712.12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4,93,712.12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6,345.52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4,525.69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4,87,366.60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4,87,366.60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6,403.68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4,467.53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4,80,962.92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4,80,962.92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6,462.38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4,408.83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4,74,500.54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4,74,500.54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6,521.62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4,349.59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4,67,978.91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4,67,978.91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6,581.40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4,289.81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4,61,397.51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4,61,397.51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6,641.73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4,229.48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4,54,755.77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4,54,755.77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6,702.62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4,168.59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4,48,053.16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4,48,053.16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6,764.06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4,107.15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4,41,289.10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4,41,289.10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6,826.06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4,045.15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4,34,463.04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4,34,463.04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6,888.63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3,982.58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4,27,574.40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4,27,574.40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6,951.78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3,919.43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4,20,622.62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4,20,622.62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7,015.50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3,855.71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4,13,607.12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4,13,607.12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7,079.81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3,791.40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4,06,527.31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4,06,527.31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7,144.71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3,726.50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3,99,382.60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3,99,382.60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7,210.20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3,661.01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3,92,172.39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3,92,172.39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7,276.30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3,594.91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3,84,896.09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3,84,896.09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7,343.00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3,528.21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3,77,553.10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19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3,77,553.10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7,410.31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3,460.90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3,70,142.79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3,70,142.79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7,478.24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3,392.98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3,62,664.55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3,62,664.55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7,546.79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3,324.43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3,55,117.77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3,55,117.77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7,615.97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3,255.25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3,47,501.80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3,47,501.80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7,685.78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3,185.43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3,39,816.02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3,39,816.02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7,756.23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3,114.98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3,32,059.79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3,32,059.79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7,827.33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3,043.88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3,24,232.46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3,24,232.46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7,899.08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2,972.13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3,16,333.38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3,16,333.38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7,971.49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2,899.72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3,08,361.89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3,08,361.89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8,044.56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2,826.65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3,00,317.33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29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3,00,317.33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8,118.30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2,752.91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2,92,199.03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2,92,199.03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8,192.72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2,678.49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2,84,006.31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2,84,006.31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8,267.82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2,603.39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2,75,738.49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2,75,738.49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8,343.61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2,527.60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2,67,394.88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2,67,394.88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8,420.09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2,451.12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2,58,974.79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2,58,974.79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8,497.28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2,373.94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2,50,477.51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2,50,477.51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8,575.17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2,296.04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2,41,902.34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2,41,902.34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8,653.77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2,217.44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2,33,248.57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2,33,248.57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8,733.10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2,138.11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2,24,515.47</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2,24,515.47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8,813.15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2,058.06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2,15,702.32</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39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2,15,702.32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8,893.94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1,977.27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2,06,808.38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2,06,808.38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8,975.47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1,895.74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1,97,832.91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1,97,832.91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9,057.74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1,813.47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1,88,775.16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1,88,775.16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9,140.77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1,730.44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1,79,634.39</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1,79,634.39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9,224.56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1,646.65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1,70,409.83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1,70,409.83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9,309.12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1,562.09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1,61,100.71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1,61,100.71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9,394.46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1,476.76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1,51,706.25</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1,51,706.25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9,480.57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1,390.64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1,42,225.68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2029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1,42,225.68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9,567.48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1,303.74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1,32,658.21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1,32,658.21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9,655.18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1,216.03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1,23,003.03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49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Feb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1,23,003.03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9,743.68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1,127.53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1,13,259.34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Mar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1,13,259.34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9,833.00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1,038.21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1,03,426.34</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51</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Apr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1,03,426.34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9,923.14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948.07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93,503.21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52</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May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93,503.21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10,014.10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857.11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83,489.11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53</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Jun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83,489.11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10,105.89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765.32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73,383.21</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54</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Jul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73,383.21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10,198.53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672.68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63,184.68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55</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Aug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63,184.68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10,292.02</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579.19</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52,892.66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56</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Sept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52,892.66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10,386.36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484.85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42,506.30</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57</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Oct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42,506.30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10,481.57</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389.64</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32,024.73</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58</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Nov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32,024.73</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10,577.65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293.56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21,447.08</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59</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Dec 2030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21,447.08</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10,674.61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196.60</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10,772.46</w:t>
            </w:r>
          </w:p>
        </w:tc>
      </w:tr>
      <w:tr>
        <w:trPr>
          <w:trHeight w:val="300" w:hRule="atLeast"/>
        </w:trPr>
        <w:tc>
          <w:tcPr>
            <w:tcBorders>
              <w:top w:val="single" w:color="000000" w:sz="1"/>
              <w:left w:val="single" w:color="000000" w:sz="1"/>
              <w:bottom w:val="single" w:color="000000" w:sz="1"/>
              <w:right w:val="single" w:color="000000" w:sz="1"/>
            </w:tcBorders>
            <w:vAlign w:val="center"/>
          </w:tcPr>
          <w:p>
            <w:pPr>
              <w:pStyle w:val="Default"/>
              <w:jc w:val="center"/>
            </w:pPr>
            <w:r>
              <w:t xml:space="preserve">60</w:t>
            </w:r>
          </w:p>
        </w:tc>
        <w:tc>
          <w:tcPr>
            <w:tcBorders>
              <w:top w:val="single" w:color="000000" w:sz="1"/>
              <w:left w:val="single" w:color="000000" w:sz="1"/>
              <w:bottom w:val="single" w:color="000000" w:sz="1"/>
              <w:right w:val="single" w:color="000000" w:sz="1"/>
            </w:tcBorders>
            <w:vAlign w:val="center"/>
          </w:tcPr>
          <w:p>
            <w:pPr>
              <w:pStyle w:val="Default"/>
              <w:jc w:val="center"/>
            </w:pPr>
            <w:r>
              <w:t xml:space="preserve">01 Jan 2031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10,772.46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10,871.21</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10,772.46</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98.75</w:t>
            </w:r>
          </w:p>
        </w:tc>
        <w:tc>
          <w:tcPr>
            <w:tcBorders>
              <w:top w:val="single" w:color="000000" w:sz="1"/>
              <w:left w:val="single" w:color="000000" w:sz="1"/>
              <w:bottom w:val="single" w:color="000000" w:sz="1"/>
              <w:right w:val="single" w:color="000000" w:sz="1"/>
            </w:tcBorders>
            <w:vAlign w:val="center"/>
          </w:tcPr>
          <w:p>
            <w:pPr>
              <w:pStyle w:val="Default"/>
              <w:jc w:val="right"/>
            </w:pPr>
            <w:r>
              <w:t xml:space="preserve">0.00</w:t>
            </w:r>
          </w:p>
        </w:tc>
      </w:tr>
    </w:tbl>
    <w:p>
      <w:r>
        <w:br w:type="page"/>
      </w:r>
    </w:p>
    <w:p>
      <w:pPr>
        <w:pStyle w:val="sectionHeading"/>
        <w:spacing w:after="300"/>
        <w:jc w:val="center"/>
      </w:pPr>
      <w:r>
        <w:t xml:space="preserve">EXPLANATIONS &amp; CONCLUSION</w:t>
      </w:r>
    </w:p>
    <w:p>
      <w:pPr>
        <w:spacing w:before="200" w:after="100"/>
      </w:pPr>
      <w:r>
        <w:rPr>
          <w:b/>
          <w:bCs/>
          <w:color w:val="FFFFFF"/>
          <w:sz w:val="28"/>
          <w:szCs w:val="28"/>
        </w:rPr>
        <w:t xml:space="preserve">Assumptions</w:t>
      </w:r>
    </w:p>
    <w:p>
      <w:pPr>
        <w:spacing w:after="150"/>
      </w:pPr>
      <w:r>
        <w:t xml:space="preserve">The entire projection is based on the assumption that the sales for 5 years will be as follows: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c>
          <w:tcPr>
            <w:shd w:fill="475569" w:color="475569" w:val="solid"/>
          </w:tcPr>
          <w:p>
            <w:pPr>
              <w:pStyle w:val="Default"/>
              <w:jc w:val="center"/>
            </w:pPr>
            <w:r>
              <w:rPr>
                <w:color w:val="FFFFFF"/>
              </w:rPr>
              <w:t xml:space="preserve">31/03/2027</w:t>
            </w:r>
          </w:p>
        </w:tc>
        <w:tc>
          <w:tcPr>
            <w:shd w:fill="475569" w:color="475569" w:val="solid"/>
          </w:tcPr>
          <w:p>
            <w:pPr>
              <w:pStyle w:val="Default"/>
              <w:jc w:val="center"/>
            </w:pPr>
            <w:r>
              <w:rPr>
                <w:color w:val="FFFFFF"/>
              </w:rPr>
              <w:t xml:space="preserve">31/03/2028</w:t>
            </w:r>
          </w:p>
        </w:tc>
        <w:tc>
          <w:tcPr>
            <w:shd w:fill="475569" w:color="475569" w:val="solid"/>
          </w:tcPr>
          <w:p>
            <w:pPr>
              <w:pStyle w:val="Default"/>
              <w:jc w:val="center"/>
            </w:pPr>
            <w:r>
              <w:rPr>
                <w:color w:val="FFFFFF"/>
              </w:rPr>
              <w:t xml:space="preserve">31/03/2029</w:t>
            </w:r>
          </w:p>
        </w:tc>
        <w:tc>
          <w:tcPr>
            <w:shd w:fill="475569" w:color="475569" w:val="solid"/>
          </w:tcPr>
          <w:p>
            <w:pPr>
              <w:pStyle w:val="Default"/>
              <w:jc w:val="center"/>
            </w:pPr>
            <w:r>
              <w:rPr>
                <w:color w:val="FFFFFF"/>
              </w:rPr>
              <w:t xml:space="preserve">31/03/2030</w:t>
            </w:r>
          </w:p>
        </w:tc>
        <w:tc>
          <w:tcPr>
            <w:shd w:fill="475569" w:color="475569" w:val="solid"/>
          </w:tcPr>
          <w:p>
            <w:pPr>
              <w:pStyle w:val="Default"/>
              <w:jc w:val="center"/>
            </w:pPr>
            <w:r>
              <w:rPr>
                <w:color w:val="FFFFFF"/>
              </w:rPr>
              <w:t xml:space="preserve">31/03/2031</w:t>
            </w:r>
          </w:p>
        </w:tc>
      </w:tr>
      <w:tr>
        <w:tc>
          <w:p>
            <w:pPr>
              <w:pStyle w:val="Default"/>
              <w:jc w:val="right"/>
            </w:pPr>
            <w:r>
              <w:t xml:space="preserve">35,21,600.00</w:t>
            </w:r>
          </w:p>
        </w:tc>
        <w:tc>
          <w:p>
            <w:pPr>
              <w:pStyle w:val="Default"/>
              <w:jc w:val="right"/>
            </w:pPr>
            <w:r>
              <w:t xml:space="preserve">38,53,760.04</w:t>
            </w:r>
          </w:p>
        </w:tc>
        <w:tc>
          <w:p>
            <w:pPr>
              <w:pStyle w:val="Default"/>
              <w:jc w:val="right"/>
            </w:pPr>
            <w:r>
              <w:t xml:space="preserve">42,19,136.04</w:t>
            </w:r>
          </w:p>
        </w:tc>
        <w:tc>
          <w:p>
            <w:pPr>
              <w:pStyle w:val="Default"/>
              <w:jc w:val="right"/>
            </w:pPr>
            <w:r>
              <w:t xml:space="preserve">46,21,049.64</w:t>
            </w:r>
          </w:p>
        </w:tc>
        <w:tc>
          <w:p>
            <w:pPr>
              <w:pStyle w:val="Default"/>
              <w:jc w:val="right"/>
            </w:pPr>
            <w:r>
              <w:t xml:space="preserve">50,63,154.60</w:t>
            </w:r>
          </w:p>
        </w:tc>
      </w:tr>
    </w:tbl>
    <w:p>
      <w:pPr>
        <w:spacing w:before="200" w:after="200"/>
      </w:pPr>
      <w:r>
        <w:rPr>
          <w:b/>
          <w:bCs/>
        </w:rPr>
        <w:t xml:space="preserve">Revenue From Sales: </w:t>
      </w:r>
      <w:r>
        <w:t xml:space="preserve">35,21,600.00</w:t>
      </w:r>
    </w:p>
    <w:p>
      <w:pPr>
        <w:spacing w:after="150"/>
      </w:pPr>
      <w:r>
        <w:t xml:space="preserve">Also total revenue &amp; expense for firm during projection years will be as follows:</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100"/>
        <w:gridCol w:w="100"/>
        <w:gridCol w:w="100"/>
        <w:gridCol w:w="100"/>
        <w:gridCol w:w="100"/>
      </w:tblGrid>
      <w:tr>
        <w:tc>
          <w:tcPr>
            <w:shd w:fill="475569" w:color="475569" w:val="solid"/>
          </w:tcPr>
          <w:p>
            <w:pPr>
              <w:pStyle w:val="Default"/>
              <w:jc w:val="center"/>
            </w:pPr>
            <w:r>
              <w:rPr>
                <w:color w:val="FFFFFF"/>
              </w:rPr>
              <w:t xml:space="preserve">31/03/2027</w:t>
            </w:r>
          </w:p>
        </w:tc>
        <w:tc>
          <w:tcPr>
            <w:shd w:fill="475569" w:color="475569" w:val="solid"/>
          </w:tcPr>
          <w:p>
            <w:pPr>
              <w:pStyle w:val="Default"/>
              <w:jc w:val="center"/>
            </w:pPr>
            <w:r>
              <w:rPr>
                <w:color w:val="FFFFFF"/>
              </w:rPr>
              <w:t xml:space="preserve">31/03/2028</w:t>
            </w:r>
          </w:p>
        </w:tc>
        <w:tc>
          <w:tcPr>
            <w:shd w:fill="475569" w:color="475569" w:val="solid"/>
          </w:tcPr>
          <w:p>
            <w:pPr>
              <w:pStyle w:val="Default"/>
              <w:jc w:val="center"/>
            </w:pPr>
            <w:r>
              <w:rPr>
                <w:color w:val="FFFFFF"/>
              </w:rPr>
              <w:t xml:space="preserve">31/03/2029</w:t>
            </w:r>
          </w:p>
        </w:tc>
        <w:tc>
          <w:tcPr>
            <w:shd w:fill="475569" w:color="475569" w:val="solid"/>
          </w:tcPr>
          <w:p>
            <w:pPr>
              <w:pStyle w:val="Default"/>
              <w:jc w:val="center"/>
            </w:pPr>
            <w:r>
              <w:rPr>
                <w:color w:val="FFFFFF"/>
              </w:rPr>
              <w:t xml:space="preserve">31/03/2030</w:t>
            </w:r>
          </w:p>
        </w:tc>
        <w:tc>
          <w:tcPr>
            <w:shd w:fill="475569" w:color="475569" w:val="solid"/>
          </w:tcPr>
          <w:p>
            <w:pPr>
              <w:pStyle w:val="Default"/>
              <w:jc w:val="center"/>
            </w:pPr>
            <w:r>
              <w:rPr>
                <w:color w:val="FFFFFF"/>
              </w:rPr>
              <w:t xml:space="preserve">31/03/2031</w:t>
            </w:r>
          </w:p>
        </w:tc>
      </w:tr>
      <w:tr>
        <w:tc>
          <w:p>
            <w:pPr>
              <w:pStyle w:val="Default"/>
              <w:jc w:val="right"/>
            </w:pPr>
            <w:r>
              <w:t xml:space="preserve">5,16,415.24</w:t>
            </w:r>
          </w:p>
        </w:tc>
        <w:tc>
          <w:p>
            <w:pPr>
              <w:pStyle w:val="Default"/>
              <w:jc w:val="right"/>
            </w:pPr>
            <w:r>
              <w:t xml:space="preserve">5,82,490.57</w:t>
            </w:r>
          </w:p>
        </w:tc>
        <w:tc>
          <w:p>
            <w:pPr>
              <w:pStyle w:val="Default"/>
              <w:jc w:val="right"/>
            </w:pPr>
            <w:r>
              <w:t xml:space="preserve">6,08,713.93</w:t>
            </w:r>
          </w:p>
        </w:tc>
        <w:tc>
          <w:p>
            <w:pPr>
              <w:pStyle w:val="Default"/>
              <w:jc w:val="right"/>
            </w:pPr>
            <w:r>
              <w:t xml:space="preserve">6,39,189.96</w:t>
            </w:r>
          </w:p>
        </w:tc>
        <w:tc>
          <w:p>
            <w:pPr>
              <w:pStyle w:val="Default"/>
              <w:jc w:val="right"/>
            </w:pPr>
            <w:r>
              <w:t xml:space="preserve">6,74,173.39</w:t>
            </w:r>
          </w:p>
        </w:tc>
      </w:tr>
    </w:tbl>
    <w:p>
      <w:pPr>
        <w:spacing w:before="300" w:after="150"/>
      </w:pPr>
      <w:r>
        <w:rPr>
          <w:b/>
          <w:bCs/>
          <w:color w:val="FFFFFF"/>
          <w:sz w:val="28"/>
          <w:szCs w:val="28"/>
        </w:rPr>
        <w:t xml:space="preserve">Loan Assumptions</w:t>
      </w:r>
    </w:p>
    <w:p>
      <w:pPr>
        <w:pStyle w:val="ListParagraph"/>
        <w:numPr>
          <w:ilvl w:val="0"/>
          <w:numId w:val="1"/>
        </w:numPr>
        <w:spacing w:before="100"/>
      </w:pPr>
      <w:r>
        <w:t xml:space="preserve">Term Loan: Principal 5,00,000.00, Interest 11%, Duration 5 years</w:t>
      </w:r>
    </w:p>
    <w:p>
      <w:pPr>
        <w:pStyle w:val="ListParagraph"/>
        <w:numPr>
          <w:ilvl w:val="0"/>
          <w:numId w:val="1"/>
        </w:numPr>
        <w:spacing w:before="100"/>
      </w:pPr>
      <w:r>
        <w:t xml:space="preserve">Working Capital Loan: Principal 4,00,000.00, Interest 11%</w:t>
      </w:r>
    </w:p>
    <w:p>
      <w:pPr>
        <w:spacing w:before="300" w:after="150"/>
      </w:pPr>
      <w:r>
        <w:rPr>
          <w:b/>
          <w:bCs/>
        </w:rPr>
        <w:t xml:space="preserve">The depreciation is as follows:</w:t>
      </w:r>
    </w:p>
    <w:tbl>
      <w:tblPr>
        <w:tblW w:type="pct" w:w="60%"/>
        <w:tblBorders>
          <w:top w:val="single" w:color="auto" w:sz="4"/>
          <w:left w:val="single" w:color="auto" w:sz="4"/>
          <w:bottom w:val="single" w:color="auto" w:sz="4"/>
          <w:right w:val="single" w:color="auto" w:sz="4"/>
          <w:insideH w:val="single" w:color="auto" w:sz="4"/>
          <w:insideV w:val="single" w:color="auto" w:sz="4"/>
        </w:tblBorders>
      </w:tblPr>
      <w:tblGrid>
        <w:gridCol w:w="100"/>
        <w:gridCol w:w="100"/>
      </w:tblGrid>
      <w:tr>
        <w:tc>
          <w:tcPr>
            <w:shd w:fill="475569" w:color="475569" w:val="solid"/>
          </w:tcPr>
          <w:p>
            <w:pPr>
              <w:jc w:val="center"/>
            </w:pPr>
            <w:r>
              <w:rPr>
                <w:b/>
                <w:bCs/>
                <w:color w:val="FFFFFF"/>
              </w:rPr>
              <w:t xml:space="preserve">Particulars</w:t>
            </w:r>
          </w:p>
        </w:tc>
        <w:tc>
          <w:tcPr>
            <w:shd w:fill="475569" w:color="475569" w:val="solid"/>
          </w:tcPr>
          <w:p>
            <w:pPr>
              <w:jc w:val="center"/>
            </w:pPr>
            <w:r>
              <w:rPr>
                <w:b/>
                <w:bCs/>
                <w:color w:val="FFFFFF"/>
              </w:rPr>
              <w:t xml:space="preserve">Rate</w:t>
            </w:r>
          </w:p>
        </w:tc>
      </w:tr>
      <w:tr>
        <w:tc>
          <w:p>
            <w:r>
              <w:t xml:space="preserve">Furniture &amp; Fixtures</w:t>
            </w:r>
          </w:p>
        </w:tc>
        <w:tc>
          <w:p>
            <w:pPr>
              <w:jc w:val="center"/>
            </w:pPr>
            <w:r>
              <w:t xml:space="preserve">10%</w:t>
            </w:r>
          </w:p>
        </w:tc>
      </w:tr>
      <w:tr>
        <w:tc>
          <w:p>
            <w:r>
              <w:t xml:space="preserve">Plant &amp; Machinery</w:t>
            </w:r>
          </w:p>
        </w:tc>
        <w:tc>
          <w:p>
            <w:pPr>
              <w:jc w:val="center"/>
            </w:pPr>
            <w:r>
              <w:t xml:space="preserve">15%</w:t>
            </w:r>
          </w:p>
        </w:tc>
      </w:tr>
    </w:tbl>
    <w:p>
      <w:pPr>
        <w:pStyle w:val="ListParagraph"/>
        <w:numPr>
          <w:ilvl w:val="0"/>
          <w:numId w:val="1"/>
        </w:numPr>
        <w:spacing w:before="100"/>
      </w:pPr>
      <w:r>
        <w:t xml:space="preserve">Cost of Machinery is based on direct purchase from the market on deepest study</w:t>
      </w:r>
    </w:p>
    <w:p>
      <w:pPr>
        <w:pStyle w:val="ListParagraph"/>
        <w:numPr>
          <w:ilvl w:val="0"/>
          <w:numId w:val="1"/>
        </w:numPr>
        <w:spacing w:before="100"/>
      </w:pPr>
      <w:r>
        <w:t xml:space="preserve">Value of raw materials &amp; utility charges as per the current market conditions</w:t>
      </w:r>
    </w:p>
    <w:p>
      <w:pPr>
        <w:pStyle w:val="ListParagraph"/>
        <w:numPr>
          <w:ilvl w:val="0"/>
          <w:numId w:val="1"/>
        </w:numPr>
        <w:spacing w:before="100"/>
      </w:pPr>
      <w:r>
        <w:t xml:space="preserve">All other assumptions are calculated based on the basis of experience of the promoter and deep study on the working of similar model</w:t>
      </w:r>
    </w:p>
    <w:p>
      <w:pPr>
        <w:spacing w:before="400" w:after="150"/>
      </w:pPr>
      <w:r>
        <w:rPr>
          <w:b/>
          <w:bCs/>
          <w:color w:val="FFFFFF"/>
          <w:sz w:val="28"/>
          <w:szCs w:val="28"/>
        </w:rPr>
        <w:t xml:space="preserve">Conclusion</w:t>
      </w:r>
    </w:p>
    <w:p>
      <w:pPr>
        <w:spacing w:after="120"/>
        <w:jc w:val="both"/>
      </w:pPr>
      <w:r>
        <w:t xml:space="preserve">When we take a close look at the Debt Service Coverage Ratio (DSCR), the avg: DSCR is </w:t>
      </w:r>
      <w:r>
        <w:rPr>
          <w:b/>
          <w:bCs/>
        </w:rPr>
        <w:t xml:space="preserve">8.61 : 1</w:t>
      </w:r>
      <w:r>
        <w:t xml:space="preserve">, which is at a higher proposition and proposes a stable venture.</w:t>
      </w:r>
    </w:p>
    <w:p>
      <w:pPr>
        <w:spacing w:after="120"/>
        <w:jc w:val="both"/>
      </w:pPr>
      <w:r>
        <w:t xml:space="preserve">The Profit and Loss shows a steady growth in profit throughout the year and the firm has a higher Current Ratio (average) of </w:t>
      </w:r>
      <w:r>
        <w:rPr>
          <w:b/>
          <w:bCs/>
        </w:rPr>
        <w:t xml:space="preserve">2.30</w:t>
      </w:r>
      <w:r>
        <w:t xml:space="preserve">, this shows the current assets and current liabilities are managed &amp; balanced well.</w:t>
      </w:r>
    </w:p>
    <w:sectPr>
      <w:footerReference w:type="default" r:id="rId6"/>
      <w:pgSz w:w="11906" w:h="16838" w:orient="portrait"/>
      <w:pgMar w:top="720" w:right="720" w:bottom="720" w:left="720" w:header="708" w:footer="708" w:gutter="0"/>
      <w:pgBorders w:display="allPages" w:offsetFrom="page" w:zOrder="front"/>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t xml:space="preserve">Page </w:t>
    </w:r>
    <w:r>
      <w:fldChar w:fldCharType="begin"/>
      <w:instrText xml:space="preserve">PAGE</w:instrText>
      <w:fldChar w:fldCharType="separate"/>
      <w:fldChar w:fldCharType="end"/>
    </w:r>
    <w:r>
      <w:t xml:space="preserve"> of </w:t>
    </w:r>
    <w:r>
      <w:fldChar w:fldCharType="begin"/>
      <w:instrText xml:space="preserve">NUMPAGES</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documentProtection w:edit="readOnly" w:enforcement="1" w:cryptProviderType="rsaFull" w:hash="1Tiy+Xa1a9R9o1lKk+q6xQ==" w:salt="U1VjTHBvQWZJbGZrZ3Z5aA==" w:cryptAlgorithmType="typeAES" w:cryptAlgorithmSid="14" w:cryptSpinCount="10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12pt"/>
        <w:szCs w:val="12pt"/>
        <w:rFonts w:ascii="Calibri" w:cs="Calibri" w:eastAsia="Calibri" w:hAnsi="Calibri"/>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rPr>
      <w:sz w:val="12pt"/>
      <w:szCs w:val="12pt"/>
      <w:rFonts w:ascii="Calibri" w:cs="Calibri" w:eastAsia="Calibri" w:hAnsi="Calibri"/>
    </w:rPr>
  </w:style>
  <w:style w:type="paragraph" w:styleId="Strong">
    <w:name w:val="Strong"/>
    <w:basedOn w:val="Normal"/>
    <w:rPr>
      <w:b/>
      <w:bCs/>
      <w:sz w:val="12pt"/>
      <w:szCs w:val="12pt"/>
      <w:rFonts w:ascii="Calibri" w:cs="Calibri" w:eastAsia="Calibri" w:hAnsi="Calibri"/>
    </w:rPr>
  </w:style>
  <w:style w:type="paragraph" w:styleId="TableHeaderStyle">
    <w:name w:val="Table Header Style"/>
    <w:basedOn w:val="Normal"/>
    <w:rPr>
      <w:b/>
      <w:bCs/>
      <w:sz w:val="10pt"/>
      <w:szCs w:val="10pt"/>
      <w:rFonts w:ascii="Calibri" w:cs="Calibri" w:eastAsia="Calibri" w:hAnsi="Calibri"/>
    </w:rPr>
  </w:style>
  <w:style w:type="paragraph" w:styleId="sectionHeading">
    <w:name w:val="Section Heading"/>
    <w:basedOn w:val="Normal"/>
    <w:pPr>
      <w:spacing w:before="240" w:after="120"/>
    </w:pPr>
    <w:rPr>
      <w:b/>
      <w:bCs/>
      <w:color w:val="475569"/>
      <w:sz w:val="14pt"/>
      <w:szCs w:val="14pt"/>
      <w:rFonts w:ascii="Calibri" w:cs="Calibri" w:eastAsia="Calibri" w:hAnsi="Calibri"/>
    </w:rPr>
  </w:style>
  <w:style w:type="paragraph" w:styleId="docTitle">
    <w:name w:val="Document Title"/>
    <w:basedOn w:val="Normal"/>
    <w:pPr>
      <w:spacing w:before="240" w:after="240"/>
    </w:pPr>
    <w:rPr>
      <w:b/>
      <w:bCs/>
      <w:color w:val="475569"/>
      <w:sz w:val="18pt"/>
      <w:szCs w:val="18pt"/>
      <w:rFonts w:ascii="Calibri" w:cs="Calibri" w:eastAsia="Calibri" w:hAnsi="Calibri"/>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footer" Target="footer1.xml"/><Relationship Id="rId7" Type="http://schemas.openxmlformats.org/officeDocument/2006/relationships/image" Target="media/jr1yqh-eyynzkkt6hiycv.png"/><Relationship Id="rId8" Type="http://schemas.openxmlformats.org/officeDocument/2006/relationships/image" Target="media/rlal_iu7duxlocfzejqb6.png"/><Relationship Id="rId9" Type="http://schemas.openxmlformats.org/officeDocument/2006/relationships/image" Target="media/w5zz_1rwcqokuj50f_mss.png"/><Relationship Id="rId10" Type="http://schemas.openxmlformats.org/officeDocument/2006/relationships/image" Target="media/qjh5sbkwl-amx-46ohret.png"/><Relationship Id="rId11" Type="http://schemas.openxmlformats.org/officeDocument/2006/relationships/image" Target="media/ulsatal2hzz1overzdcay.png"/><Relationship Id="rId12" Type="http://schemas.openxmlformats.org/officeDocument/2006/relationships/image" Target="media/bn3hd_y0e6n-3cavpdktb.png"/><Relationship Id="rId13" Type="http://schemas.openxmlformats.org/officeDocument/2006/relationships/image" Target="media/gi40tk8vbfpjuviukyfxa.png"/><Relationship Id="rId14" Type="http://schemas.openxmlformats.org/officeDocument/2006/relationships/image" Target="media/j1qaj5kb-fxw790gffzga.png"/><Relationship Id="rId15" Type="http://schemas.openxmlformats.org/officeDocument/2006/relationships/image" Target="media/rejrmrcfyciounu-okfza.png"/></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2026-05-06T11:32:19.018Z</dcterms:created>
  <dcterms:modified xsi:type="dcterms:W3CDTF">2026-05-06T11:32:19.018Z</dcterms:modified>
</cp:coreProperties>
</file>

<file path=docProps/custom.xml><?xml version="1.0" encoding="utf-8"?>
<Properties xmlns="http://schemas.openxmlformats.org/officeDocument/2006/custom-properties" xmlns:vt="http://schemas.openxmlformats.org/officeDocument/2006/docPropsVTypes"/>
</file>