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pPr>
    </w:p>
    <w:p>
      <w:pPr>
        <w:spacing w:after="500"/>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857500"/>
                    </a:xfrm>
                    <a:prstGeom prst="rect">
                      <a:avLst/>
                    </a:prstGeom>
                  </pic:spPr>
                </pic:pic>
              </a:graphicData>
            </a:graphic>
          </wp:inline>
        </w:drawing>
      </w:r>
    </w:p>
    <w:p>
      <w:pPr>
        <w:spacing w:after="1200" w:before="500"/>
        <w:jc w:val="center"/>
      </w:pPr>
      <w:r>
        <w:rPr>
          <w:b/>
          <w:bCs/>
          <w:sz w:val="48"/>
          <w:szCs w:val="48"/>
          <w:rFonts w:ascii="Arial" w:cs="Arial" w:eastAsia="Arial" w:hAnsi="Arial"/>
        </w:rPr>
        <w:t xml:space="preserve">PROJECT REPORT</w:t>
      </w:r>
    </w:p>
    <w:p>
      <w:pPr>
        <w:spacing w:after="1000" w:before="1000"/>
        <w:jc w:val="center"/>
      </w:pPr>
      <w:r>
        <w:rPr>
          <w:sz w:val="36"/>
          <w:szCs w:val="36"/>
          <w:rFonts w:ascii="Arial" w:cs="Arial" w:eastAsia="Arial" w:hAnsi="Arial"/>
        </w:rPr>
        <w:t xml:space="preserve">Of</w:t>
      </w:r>
    </w:p>
    <w:p>
      <w:pPr>
        <w:spacing w:after="300" w:before="0"/>
        <w:jc w:val="center"/>
      </w:pPr>
      <w:r>
        <w:rPr>
          <w:b/>
          <w:bCs/>
          <w:sz w:val="60"/>
          <w:szCs w:val="60"/>
          <w:rFonts w:ascii="Arial" w:cs="Arial" w:eastAsia="Arial" w:hAnsi="Arial"/>
        </w:rPr>
        <w:t xml:space="preserve">FINXORA MART</w:t>
      </w:r>
    </w:p>
    <w:p>
      <w:pPr>
        <w:spacing w:before="100" w:after="100"/>
        <w:jc w:val="center"/>
      </w:pPr>
      <w:r>
        <w:rPr>
          <w:sz w:val="28"/>
          <w:szCs w:val="28"/>
          <w:rFonts w:ascii="Arial" w:cs="Arial" w:eastAsia="Arial" w:hAnsi="Arial"/>
        </w:rPr>
        <w:t xml:space="preserve">Proprietor: Aarav Mehta (Male, General)</w:t>
      </w:r>
    </w:p>
    <w:p>
      <w:pPr>
        <w:spacing w:before="50" w:after="50"/>
        <w:jc w:val="center"/>
      </w:pPr>
      <w:r>
        <w:rPr>
          <w:sz w:val="24"/>
          <w:szCs w:val="24"/>
          <w:rFonts w:ascii="Arial" w:cs="Arial" w:eastAsia="Arial" w:hAnsi="Arial"/>
        </w:rPr>
        <w:t xml:space="preserve">GST No.: 23AAAPF0000A1Z5</w:t>
      </w:r>
    </w:p>
    <w:p>
      <w:pPr>
        <w:spacing w:before="50" w:after="50"/>
        <w:jc w:val="center"/>
      </w:pPr>
      <w:r>
        <w:rPr>
          <w:sz w:val="24"/>
          <w:szCs w:val="24"/>
          <w:rFonts w:ascii="Arial" w:cs="Arial" w:eastAsia="Arial" w:hAnsi="Arial"/>
        </w:rPr>
        <w:t xml:space="preserve">UDYAM No.: UDYAM-MP-00-0000000</w:t>
      </w:r>
    </w:p>
    <w:p>
      <w:pPr>
        <w:spacing w:before="150" w:after="150"/>
        <w:jc w:val="center"/>
      </w:pPr>
      <w:r>
        <w:rPr>
          <w:b/>
          <w:bCs/>
          <w:sz w:val="28"/>
          <w:szCs w:val="28"/>
          <w:rFonts w:ascii="Arial" w:cs="Arial" w:eastAsia="Arial" w:hAnsi="Arial"/>
        </w:rPr>
        <w:t xml:space="preserve">For Term Loan of 97,20,000.00 /- and CC of 21,45,000.00 /-</w:t>
      </w:r>
    </w:p>
    <w:p>
      <w:pPr>
        <w:spacing w:after="3300"/>
      </w:pPr>
    </w:p>
    <w:p>
      <w:pPr>
        <w:sectPr>
          <w:pgSz w:w="11906" w:h="16838" w:orient="portrait"/>
          <w:pgMar w:top="720" w:right="720" w:bottom="720" w:left="720" w:header="708" w:footer="708" w:gutter="0"/>
          <w:pgNumType/>
          <w:docGrid w:linePitch="360"/>
        </w:sectPr>
      </w:pPr>
    </w:p>
    <w:p>
      <w:pPr>
        <w:spacing w:after="300" w:before="200"/>
        <w:jc w:val="center"/>
      </w:pPr>
      <w:r>
        <w:rPr>
          <w:b/>
          <w:bCs/>
          <w:color w:val="475569"/>
          <w:sz w:val="18pt"/>
          <w:szCs w:val="18pt"/>
          <w:rFonts w:ascii="Calibri" w:cs="Calibri" w:eastAsia="Calibri" w:hAnsi="Calibri"/>
        </w:rPr>
        <w:t xml:space="preserve">INDEX</w:t>
      </w:r>
    </w:p>
    <w:sdt>
      <w:sdtPr>
        <w:alias w:val="Table of Contents"/>
      </w:sdtPr>
      <w:sdtContent>
        <w:p>
          <w:r>
            <w:fldChar w:fldCharType="begin" w:dirty="true"/>
            <w:instrText xml:space="preserve">TOC \h \t "docTitle,1,sectionHeading,1"</w:instrText>
            <w:fldChar w:fldCharType="separate"/>
          </w:r>
        </w:p>
        <w:p>
          <w:r>
            <w:fldChar w:fldCharType="end"/>
          </w:r>
        </w:p>
      </w:sdtContent>
    </w:sdt>
    <w:p>
      <w:r>
        <w:br w:type="page"/>
      </w:r>
    </w:p>
    <w:p>
      <w:pPr>
        <w:pStyle w:val="docTitle"/>
        <w:spacing w:after="300" w:before="200"/>
        <w:jc w:val="center"/>
      </w:pPr>
      <w:r>
        <w:t xml:space="preserve">COMPANY PROFILE</w:t>
      </w:r>
    </w:p>
    <w:p>
      <w:pPr>
        <w:pStyle w:val="sectionHeading"/>
        <w:spacing w:after="150" w:before="150"/>
        <w:jc w:val="left"/>
      </w:pPr>
      <w:r>
        <w:t xml:space="preserve">I. Company Information</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Name of the Company/Firm</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FINXORA MART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Proprietor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Constitution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proprietorship</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Address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Plot 12, Industrial Area, Indore, Madhya Pradesh 452001</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PAN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AAAPF0000A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Date of Incorporation/Birth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Industry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Building materials trading shop</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Business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trading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Starting Date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TERM-LOAN Loan</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Father/Spouse/Guardian Name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Dev Mehta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Marital Status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Married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Educational Qualification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Graduate with sector training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Profession/Occupation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Building materials trading shop</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Contact Number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Email</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sample@finxora.com</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Aadhaar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0000 0000 0000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description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Building materials trading shop serving institutional and retail customers in Indore and neighbouring districts of Madhya Pradesh. Operations combine documented customer orders, supplier evaluation, quality checks and regular collection follow-up. Management reviews stock, receivables and cash flow monthly to maintain service standards and timely debt repayment.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Incorporation / establishment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01-Apr-2026</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Bank and branch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 Indore Main Branch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Proposed facilities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Cash credit Rs. 21.45 lakh and term loan Rs. 97.2 lakh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Ownership / management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Proprietor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Market and operations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Diversified local customers; documented orders; monthly stock and debtor review.</w:t>
            </w:r>
          </w:p>
        </w:tc>
      </w:tr>
    </w:tbl>
    <w:p>
      <w:pPr>
        <w:spacing w:after="150"/>
      </w:pPr>
    </w:p>
    <w:p>
      <w:pPr>
        <w:pStyle w:val="sectionHeading"/>
        <w:spacing w:after="150" w:before="150"/>
        <w:jc w:val="left"/>
      </w:pPr>
      <w:r>
        <w:t xml:space="preserve">II. Project &amp; Financial Overview</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Report Period</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2026 - 2030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Currency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Amount In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Actual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Total Project Cost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2,01,45,000.00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97,20,000.00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Duration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5 years</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9.5%</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Installment (monthly)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2,21,908.90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Repayment Frequency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Monthly</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(CC/OD)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Working Capital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21,45,000.00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10%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 Contribution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82,80,000.00</w:t>
            </w:r>
          </w:p>
        </w:tc>
      </w:tr>
    </w:tbl>
    <w:p>
      <w:pPr>
        <w:spacing w:after="200"/>
      </w:pPr>
    </w:p>
    <w:p>
      <w:pPr>
        <w:pStyle w:val="sectionHeading"/>
        <w:spacing w:before="200" w:after="100"/>
      </w:pPr>
      <w:r>
        <w:t xml:space="preserve">III. Financial Indicators</w:t>
      </w:r>
    </w:p>
    <w:tbl>
      <w:tblPr>
        <w:tblW w:type="pct" w:w="85%"/>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000000" w:sz="1"/>
              <w:left w:val="single" w:color="000000" w:sz="1"/>
              <w:bottom w:val="single" w:color="000000" w:sz="1"/>
              <w:right w:val="single" w:color="000000" w:sz="1"/>
            </w:tcBorders>
            <w:shd w:fill="475569" w:color="475569" w:val="solid"/>
          </w:tcPr>
          <w:p>
            <w:r>
              <w:rPr>
                <w:b/>
                <w:bCs/>
                <w:color w:val="FFFFFF"/>
              </w:rPr>
              <w:t xml:space="preserve">Particulars</w:t>
            </w:r>
          </w:p>
        </w:tc>
        <w:tc>
          <w:tcPr>
            <w:tcW w:type="pct" w:w="50%"/>
            <w:tcBorders>
              <w:top w:val="single" w:color="000000" w:sz="1"/>
              <w:left w:val="single" w:color="000000" w:sz="1"/>
              <w:bottom w:val="single" w:color="000000" w:sz="1"/>
              <w:right w:val="single" w:color="000000" w:sz="1"/>
            </w:tcBorders>
            <w:shd w:fill="475569" w:color="475569" w:val="solid"/>
          </w:tcPr>
          <w:p>
            <w:pPr>
              <w:jc w:val="right"/>
            </w:pPr>
            <w:r>
              <w:rPr>
                <w:b/>
                <w:bCs/>
                <w:color w:val="FFFFFF"/>
              </w:rPr>
              <w:t xml:space="preserve">Value</w:t>
            </w:r>
          </w:p>
        </w:tc>
      </w:tr>
      <w:tr>
        <w:tc>
          <w:tcPr>
            <w:tcBorders>
              <w:top w:val="single" w:color="000000" w:sz="1"/>
              <w:left w:val="single" w:color="000000" w:sz="1"/>
              <w:bottom w:val="single" w:color="000000" w:sz="1"/>
              <w:right w:val="single" w:color="000000" w:sz="1"/>
            </w:tcBorders>
          </w:tcPr>
          <w:p>
            <w:r>
              <w:t xml:space="preserve">Average DSCR</w:t>
            </w:r>
          </w:p>
        </w:tc>
        <w:tc>
          <w:tcPr>
            <w:tcBorders>
              <w:top w:val="single" w:color="000000" w:sz="1"/>
              <w:left w:val="single" w:color="000000" w:sz="1"/>
              <w:bottom w:val="single" w:color="000000" w:sz="1"/>
              <w:right w:val="single" w:color="000000" w:sz="1"/>
            </w:tcBorders>
          </w:tcPr>
          <w:p>
            <w:pPr>
              <w:jc w:val="right"/>
            </w:pPr>
            <w:r>
              <w:t xml:space="preserve">2.56</w:t>
            </w:r>
          </w:p>
        </w:tc>
      </w:tr>
      <w:tr>
        <w:tc>
          <w:tcPr>
            <w:tcBorders>
              <w:top w:val="single" w:color="000000" w:sz="1"/>
              <w:left w:val="single" w:color="000000" w:sz="1"/>
              <w:bottom w:val="single" w:color="000000" w:sz="1"/>
              <w:right w:val="single" w:color="000000" w:sz="1"/>
            </w:tcBorders>
          </w:tcPr>
          <w:p>
            <w:r>
              <w:t xml:space="preserve">Average Current Ratio</w:t>
            </w:r>
          </w:p>
        </w:tc>
        <w:tc>
          <w:tcPr>
            <w:tcBorders>
              <w:top w:val="single" w:color="000000" w:sz="1"/>
              <w:left w:val="single" w:color="000000" w:sz="1"/>
              <w:bottom w:val="single" w:color="000000" w:sz="1"/>
              <w:right w:val="single" w:color="000000" w:sz="1"/>
            </w:tcBorders>
          </w:tcPr>
          <w:p>
            <w:pPr>
              <w:jc w:val="right"/>
            </w:pPr>
            <w:r>
              <w:t xml:space="preserve">2.06</w:t>
            </w:r>
          </w:p>
        </w:tc>
      </w:tr>
      <w:tr>
        <w:tc>
          <w:tcPr>
            <w:tcBorders>
              <w:top w:val="single" w:color="000000" w:sz="1"/>
              <w:left w:val="single" w:color="000000" w:sz="1"/>
              <w:bottom w:val="single" w:color="000000" w:sz="1"/>
              <w:right w:val="single" w:color="000000" w:sz="1"/>
            </w:tcBorders>
          </w:tcPr>
          <w:p>
            <w:r>
              <w:t xml:space="preserve">Debt-Equity Ratio (Year 1)</w:t>
            </w:r>
          </w:p>
        </w:tc>
        <w:tc>
          <w:tcPr>
            <w:tcBorders>
              <w:top w:val="single" w:color="000000" w:sz="1"/>
              <w:left w:val="single" w:color="000000" w:sz="1"/>
              <w:bottom w:val="single" w:color="000000" w:sz="1"/>
              <w:right w:val="single" w:color="000000" w:sz="1"/>
            </w:tcBorders>
          </w:tcPr>
          <w:p>
            <w:pPr>
              <w:jc w:val="right"/>
            </w:pPr>
            <w:r>
              <w:t xml:space="preserve">0.87</w:t>
            </w:r>
          </w:p>
        </w:tc>
      </w:tr>
      <w:tr>
        <w:tc>
          <w:tcPr>
            <w:tcBorders>
              <w:top w:val="single" w:color="000000" w:sz="1"/>
              <w:left w:val="single" w:color="000000" w:sz="1"/>
              <w:bottom w:val="single" w:color="000000" w:sz="1"/>
              <w:right w:val="single" w:color="000000" w:sz="1"/>
            </w:tcBorders>
          </w:tcPr>
          <w:p>
            <w:r>
              <w:t xml:space="preserve">Break-Even Point % (Year 1)</w:t>
            </w:r>
          </w:p>
        </w:tc>
        <w:tc>
          <w:tcPr>
            <w:tcBorders>
              <w:top w:val="single" w:color="000000" w:sz="1"/>
              <w:left w:val="single" w:color="000000" w:sz="1"/>
              <w:bottom w:val="single" w:color="000000" w:sz="1"/>
              <w:right w:val="single" w:color="000000" w:sz="1"/>
            </w:tcBorders>
          </w:tcPr>
          <w:p>
            <w:pPr>
              <w:jc w:val="right"/>
            </w:pPr>
            <w:r>
              <w:t xml:space="preserve">63.04%</w:t>
            </w:r>
          </w:p>
        </w:tc>
      </w:tr>
    </w:tbl>
    <w:p>
      <w:pPr>
        <w:spacing w:after="200"/>
      </w:pPr>
    </w:p>
    <w:p>
      <w:r>
        <w:br w:type="page"/>
      </w:r>
    </w:p>
    <w:p>
      <w:pPr>
        <w:pStyle w:val="sectionHeading"/>
        <w:spacing w:after="200"/>
        <w:jc w:val="center"/>
      </w:pPr>
      <w:r>
        <w:t xml:space="preserve">Ratio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Liquidity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Quick Ratio (Acid Test)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0.83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Profitability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Gross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Net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9.52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EBDIT Margin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Return on Capital Employed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20.32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22.17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Return on Equity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21.17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Leverage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Debt-Equity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to Total Assets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27.85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7.92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Coverage Ratio (Times)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Service Coverage Ratio (DSCR)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Solvency Ratios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Proprietary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0.61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0.78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Solvency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TOL / TNW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0.90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0.63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Fixed Asset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44.42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Debt / EBITDA (x)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0.63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0.26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41.10</w:t>
            </w:r>
          </w:p>
        </w:tc>
      </w:tr>
    </w:tbl>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left w:val="none"/>
              <w:bottom w:val="none"/>
              <w:right w:val="none"/>
            </w:tcBorders>
            <w:vAlign w:val="top"/>
          </w:tcPr>
          <w:p>
            <w:pPr>
              <w:pStyle w:val="Heading4"/>
              <w:spacing w:before="200" w:after="100"/>
              <w:jc w:val="center"/>
            </w:pPr>
            <w:r>
              <w:t xml:space="preserve">Liquidity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Liquidity ratios monitor the firm's ability to settle short-term liabilities. The Current Ratio, starting at 1.28:1 and reaching 3.33:1 by the final year, indicates a healthy buffer of current assets. The Quick Ratio follows a similar positive trend, ensuring that the firm can meet its obligations even without relying on inventory liquidation.</w:t>
            </w:r>
          </w:p>
        </w:tc>
        <w:tc>
          <w:tcPr>
            <w:tcW w:type="pct" w:w="50%"/>
            <w:tcBorders>
              <w:top w:val="none"/>
              <w:left w:val="none"/>
              <w:bottom w:val="none"/>
              <w:right w:val="none"/>
            </w:tcBorders>
            <w:vAlign w:val="top"/>
          </w:tcPr>
          <w:p>
            <w:pPr>
              <w:pStyle w:val="Heading4"/>
              <w:spacing w:before="200" w:after="100"/>
              <w:jc w:val="center"/>
            </w:pPr>
            <w:r>
              <w:t xml:space="preserve">Profitability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Profitability ratios reflect the operational efficiency of the project. The Gross Profit margin begins at 23.24%, while the Net Profit margin starts at 7.03%. The consistency or growth in these margins over the years demonstrates the firm's capability to manage costs and generate returns for the stakeholders.</w:t>
            </w:r>
          </w:p>
        </w:tc>
      </w:tr>
      <w:tr>
        <w:tc>
          <w:tcPr>
            <w:tcW w:type="pct" w:w="50%"/>
            <w:tcBorders>
              <w:top w:val="none"/>
              <w:left w:val="none"/>
              <w:bottom w:val="none"/>
              <w:right w:val="none"/>
            </w:tcBorders>
            <w:vAlign w:val="top"/>
          </w:tcPr>
          <w:p>
            <w:pPr>
              <w:pStyle w:val="Heading4"/>
              <w:spacing w:before="200" w:after="100"/>
              <w:jc w:val="center"/>
            </w:pPr>
            <w:r>
              <w:t xml:space="preserve">Solvency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Solvency ratios provide a long-term perspective on the firm's health. They indicate the project's ability to sustain operations and meet long-term commitments, ensuring viability beyond the initial projection period.</w:t>
            </w:r>
          </w:p>
        </w:tc>
        <w:tc>
          <w:tcPr>
            <w:tcW w:type="pct" w:w="50%"/>
            <w:tcBorders>
              <w:top w:val="none"/>
              <w:left w:val="none"/>
              <w:bottom w:val="none"/>
              <w:right w:val="none"/>
            </w:tcBorders>
            <w:vAlign w:val="top"/>
          </w:tcPr>
          <w:p>
            <w:pPr>
              <w:pStyle w:val="Heading4"/>
              <w:spacing w:before="200" w:after="100"/>
              <w:jc w:val="center"/>
            </w:pPr>
            <w:r>
              <w:t xml:space="preserve">Leverage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Leverage ratios evaluate the project's capital structure and dependence on debt. The Debt-Equity ratio of 0.87:1 in the initial year shows the balance between borrowed funds and owner's equity. A stable or decreasing ratio over time typically indicates a lower risk profile and greater financial independence.</w:t>
            </w:r>
          </w:p>
        </w:tc>
      </w:tr>
      <w:tr>
        <w:tc>
          <w:tcPr>
            <w:tcW w:type="pct" w:w="50%"/>
            <w:tcBorders>
              <w:top w:val="none"/>
              <w:left w:val="none"/>
              <w:bottom w:val="none"/>
              <w:right w:val="none"/>
            </w:tcBorders>
            <w:vAlign w:val="top"/>
          </w:tcPr>
          <w:p>
            <w:pPr>
              <w:pStyle w:val="Heading4"/>
              <w:spacing w:before="200" w:after="100"/>
              <w:jc w:val="center"/>
            </w:pPr>
            <w:r>
              <w:t xml:space="preserve">Working Capital Turnover</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Efficiency ratios (Turnover Ratios) indicate how effectively the firm is utilizing its assets. High turnover figures suggest optimal inventory management and efficient use of working capital, resulting in better overall productivity.</w:t>
            </w:r>
          </w:p>
        </w:tc>
        <w:tc>
          <w:tcPr>
            <w:tcW w:type="pct" w:w="50%"/>
            <w:tcBorders>
              <w:top w:val="none"/>
              <w:left w:val="none"/>
              <w:bottom w:val="none"/>
              <w:right w:val="none"/>
            </w:tcBorders>
            <w:vAlign w:val="top"/>
          </w:tcPr>
          <w:p>
            <w:pPr>
              <w:pStyle w:val="Heading4"/>
              <w:spacing w:before="200" w:after="100"/>
              <w:jc w:val="center"/>
            </w:pPr>
            <w:r>
              <w:t xml:space="preserve">Efficiency Ratios</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Efficiency ratios (Turnover Ratios) indicate how effectively the firm is utilizing its assets. High turnover figures suggest optimal inventory management and efficient use of working capital, resulting in better overall productivity.</w:t>
            </w:r>
          </w:p>
        </w:tc>
      </w:tr>
    </w:tbl>
    <w:p>
      <w:r>
        <w:br w:type="page"/>
      </w:r>
    </w:p>
    <w:p>
      <w:pPr>
        <w:pStyle w:val="sectionHeading"/>
        <w:spacing w:after="200"/>
        <w:jc w:val="center"/>
      </w:pPr>
      <w:r>
        <w:t xml:space="preserve">DSCR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Receipts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a).Net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27,41,253.69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34,12,622.43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39,89,371.42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46,76,274.60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53,89,064.84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c).Interest on 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9,06,003.35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7,57,576.70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5,68,477.29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3,60,610.23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1,32,112.86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58,07,257.04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60,33,199.13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61,65,698.71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64,25,427.34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67,21,121.82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Repayments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a).Loan Principal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8,87,150.03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18,90,364.68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20,77,978.80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22,84,213.18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25,10,915.82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b).Interest on 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9,06,003.35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7,57,576.70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5,68,477.29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3,60,610.23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1,32,112.86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17,93,153.38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26,47,941.38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26,46,456.09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26,44,823.41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26,43,028.68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Average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2.56</w:t>
            </w:r>
          </w:p>
        </w:tc>
      </w:tr>
    </w:tbl>
    <w:p>
      <w:pPr>
        <w:spacing w:after="4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left w:val="none"/>
              <w:bottom w:val="none"/>
              <w:right w:val="none"/>
            </w:tcBorders>
            <w:vAlign w:val="top"/>
          </w:tcPr>
          <w:p>
            <w:pPr>
              <w:pStyle w:val="Heading4"/>
              <w:spacing w:before="200" w:after="100"/>
              <w:jc w:val="center"/>
            </w:pPr>
            <w:r>
              <w:t xml:space="preserve">Dscr</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The Debt Service Coverage Ratio (DSCR) is a primary indicator of debt-repayment capacity. With an average DSCR of 2.56 over the 5-year period, the project demonstrates a strong ability to generate sufficient cash flows to meet both interest and principal obligations comfortably.</w:t>
            </w:r>
          </w:p>
        </w:tc>
        <w:tc>
          <w:tcPr>
            <w:tcW w:type="pct" w:w="50%"/>
            <w:tcBorders>
              <w:top w:val="none"/>
              <w:left w:val="none"/>
              <w:bottom w:val="none"/>
              <w:right w:val="none"/>
            </w:tcBorders>
            <w:vAlign w:val="top"/>
          </w:tcPr>
          <w:p>
            <w:pPr>
              <w:pStyle w:val="Heading4"/>
              <w:spacing w:before="200" w:after="100"/>
              <w:jc w:val="center"/>
            </w:pPr>
            <w:r>
              <w:t xml:space="preserve">Balance Sheet Strength</w:t>
            </w:r>
          </w:p>
          <w:p>
            <w:pPr>
              <w:jc w:val="center"/>
            </w:pPr>
            <w:r>
              <w:drawing>
                <wp:inline distT="0" distB="0" distL="0" distR="0">
                  <wp:extent cx="23812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381250" cy="1190625"/>
                          </a:xfrm>
                          <a:prstGeom prst="rect">
                            <a:avLst/>
                          </a:prstGeom>
                        </pic:spPr>
                      </pic:pic>
                    </a:graphicData>
                  </a:graphic>
                </wp:inline>
              </w:drawing>
            </w:r>
          </w:p>
          <w:p>
            <w:pPr>
              <w:spacing w:before="100"/>
              <w:jc w:val="left"/>
            </w:pPr>
            <w:r>
              <w:rPr>
                <w:b/>
                <w:bCs/>
                <w:sz w:val="18"/>
                <w:szCs w:val="18"/>
              </w:rPr>
              <w:t xml:space="preserve">Analysis: </w:t>
            </w:r>
          </w:p>
          <w:p>
            <w:pPr>
              <w:spacing w:after="100"/>
              <w:jc w:val="both"/>
            </w:pPr>
            <w:r>
              <w:rPr>
                <w:sz w:val="18"/>
                <w:szCs w:val="18"/>
              </w:rPr>
              <w:t xml:space="preserve">The Balance Sheet Strength chart illustrates the growth of Total Assets and Tangible Net Worth (TNW) over the projection period. In FY 2026-27, Total Assets are projected at 2,42,43,522.34 alongside a Tangible Net Worth of 1,06,10,065.64. By FY 2030-31, these are expected to reach 3,24,87,154.67 and 2,54,57,298.95 respectively. This trend signifies a strengthening financial position and increasing equity cushion for the firm.</w:t>
            </w:r>
          </w:p>
        </w:tc>
      </w:tr>
    </w:tbl>
    <w:p>
      <w:r>
        <w:br w:type="page"/>
      </w:r>
    </w:p>
    <w:p>
      <w:pPr>
        <w:pStyle w:val="sectionHeading"/>
        <w:spacing w:after="200"/>
        <w:jc w:val="center"/>
      </w:pPr>
      <w:r>
        <w:t xml:space="preserve">Turnover Method of Lending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Turnover (Net Sales)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4,54,89,600.00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4,91,28,768.00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5,30,59,069.44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25.00% of (A)</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97,50,000.00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1,05,30,000.00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1,13,72,400.00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1,22,82,192.00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1,32,64,767.36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 Margin Required at 5.00% of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19,50,000.00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21,06,000.00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22,74,480.00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24,56,438.40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26,52,953.47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Margin (NWC)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18,63,339.36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45,49,089.62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72,63,692.15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1,01,16,152.26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1,58,96,801.47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E. (B - 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84,24,000.00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90,97,920.00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98,25,753.60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1,06,11,813.89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(B - D)</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78,86,660.64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59,80,910.38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41,08,707.85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21,66,039.74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-26,32,034.11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 Permissible Bank Finance under Turnover Method (B - 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78,00,000.00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84,24,000.00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90,97,920.00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98,25,753.60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1,06,11,813.89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 Proposed / Existing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Drawing Power</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36,92,441.97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37,32,038.86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36,63,285.61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37,05,661.19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37,66,614.38</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J. Excess Borrowing over Turnover Method Finance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bl>
    <w:p>
      <w:pPr>
        <w:spacing w:after="400"/>
      </w:pPr>
    </w:p>
    <w:p>
      <w:r>
        <w:br w:type="page"/>
      </w:r>
    </w:p>
    <w:p>
      <w:pPr>
        <w:pStyle w:val="sectionHeading"/>
        <w:spacing w:after="200"/>
        <w:jc w:val="center"/>
      </w:pPr>
      <w:r>
        <w:t xml:space="preserve">Maximum Permissible Bank Finance (MPBF)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FIRST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84,03,522.34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1,17,33,070.66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1,52,58,104.10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1,88,73,170.02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2,27,06,491.28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43,95,182.98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50,38,981.04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58,49,411.95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66,12,017.76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46,64,689.81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 Working Capital Gap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40,08,339.36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66,94,089.62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94,08,692.15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1,22,61,152.26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1,80,41,801.47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10,02,084.84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16,73,522.41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23,52,173.04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30,65,288.06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45,10,450.37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18,63,339.36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45,49,089.62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72,63,692.15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1,01,16,152.26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1,58,96,801.47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30,06,254.52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50,20,567.21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70,56,519.11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91,95,864.20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1,35,31,351.10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SECOND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84,03,522.34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1,17,33,070.66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1,52,58,104.10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1,88,73,170.02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2,27,06,491.28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43,95,182.98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50,38,981.04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58,49,411.95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66,12,017.76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46,64,689.81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 Working Capital Gap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40,08,339.36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66,94,089.62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94,08,692.15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1,22,61,152.26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1,80,41,801.47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21,00,880.58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29,33,267.67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38,14,526.02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47,18,292.50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56,76,622.82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18,63,339.36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45,49,089.62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72,63,692.15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1,01,16,152.26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1,58,96,801.47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19,07,458.77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37,60,821.96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55,94,166.12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75,42,859.75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1,23,65,178.65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19,07,458.77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2,37,541.23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bl>
    <w:p>
      <w:pPr>
        <w:spacing w:after="400"/>
      </w:pPr>
    </w:p>
    <w:p>
      <w:r>
        <w:br w:type="page"/>
      </w:r>
    </w:p>
    <w:p>
      <w:pPr>
        <w:pStyle w:val="sectionHeading"/>
        <w:spacing w:after="200" w:before="400"/>
        <w:jc w:val="center"/>
      </w:pPr>
      <w:r>
        <w:t xml:space="preserve">Executive Summary</w:t>
      </w:r>
    </w:p>
    <w:p>
      <w:pPr>
        <w:pStyle w:val="Default"/>
        <w:spacing w:after="120"/>
        <w:jc w:val="both"/>
      </w:pPr>
      <w:r>
        <w:t xml:space="preserve">FINXORA MART proposes to establish a building materials trading shop business in Indore, Madhya Pradesh. Commercial commencement is planned for 1 April 2026, with the investment and funding structure set out in the project schedules. The shop will trade cement bags, hardware and construction fittings. Cement contributes 60% of planned sales at Rs. 350 per bag, while hardware and fittings contribute 40% at Rs. 1,000 per lot in the quantity schedules. Revenue depends on merchandise turnover and controlled trade margins; installation work or unrelated contracting income is not included in the operating plan.</w:t>
      </w:r>
    </w:p>
    <w:p>
      <w:pPr>
        <w:pStyle w:val="Default"/>
        <w:spacing w:after="120"/>
        <w:jc w:val="both"/>
      </w:pPr>
      <w:r>
        <w:t xml:space="preserve">Small construction and repair customers value availability, transparent quotations and reliable site delivery. A focused assortment can serve repeat contractors without requiring the inventory of a large regional stockist. Growth is expected from local customer retention and efficient replenishment, with procurement discounts treated as earned only when their conditions are satisfied.</w:t>
      </w:r>
    </w:p>
    <w:p>
      <w:pPr>
        <w:pStyle w:val="Default"/>
        <w:spacing w:after="120"/>
        <w:jc w:val="both"/>
      </w:pPr>
      <w:r>
        <w:t xml:space="preserve">The funding schedule provides a total outlay of Rs. 201.45 lakh, promoter contribution of Rs. 82.80 lakh, term finance of Rs. 97.20 lakh and cash credit of Rs. 21.45 lakh. The term facility is modelled at 9.5% over five years with a six-month moratorium; working-capital interest is modelled at 10%. Security documentation and final repayment terms remain subject to the bank's appraisal and sanction. For the first reporting year, FY 2026-27, the computed schedules show sales of Rs. 390.00 lakh and net profit of Rs. 27.41 lakh. The first-year current ratio is 1.91 times and the arithmetic average of the annual DSCR values in the repayment schedule is 2.56 times. Final-year sales are Rs. 530.59 lakh with net profit of Rs. 53.89 lakh; these highlights reproduce the report's calculations rather than a separate earnings estimate.</w:t>
      </w:r>
    </w:p>
    <w:p>
      <w:pPr>
        <w:spacing w:after="200"/>
      </w:pPr>
    </w:p>
    <w:p>
      <w:pPr>
        <w:pStyle w:val="sectionHeading"/>
        <w:spacing w:after="200" w:before="400"/>
        <w:jc w:val="center"/>
      </w:pPr>
      <w:r>
        <w:t xml:space="preserve">Company Background</w:t>
      </w:r>
    </w:p>
    <w:p>
      <w:pPr>
        <w:pStyle w:val="Default"/>
        <w:spacing w:after="120"/>
        <w:jc w:val="both"/>
      </w:pPr>
      <w:r>
        <w:t xml:space="preserve">Aarav Mehta has nine years of experience in building-material procurement, contractor sales and delivery coordination. The proprietor intends to supervise supplier orders and customer credit personally, supported by an accounts assistant. Experience in local construction supply will be used to select fast-moving lines and avoid tying up bank funds in an unnecessarily broad opening assortment.</w:t>
      </w:r>
    </w:p>
    <w:p>
      <w:pPr>
        <w:pStyle w:val="Default"/>
        <w:spacing w:after="120"/>
        <w:jc w:val="both"/>
      </w:pPr>
      <w:r>
        <w:t xml:space="preserve">The operating plan employs four warehouse and handling staff, two counter-sales staff and an accounts assistant under the proprietor. Storage preparation, supplier account opening, inventory coding and billing setup precede commencement on 1 April 2026. Customer credit approvals remain with the proprietor; daily cash and bank receipts are reconciled separately from stock movements. Responsibilities should be supported by written authority limits for purchases, customer credit and payments. Bank reconciliations and statutory compliance are to be reviewed monthly, and changes in key personnel should be accompanied by a documented handover.</w:t>
      </w:r>
    </w:p>
    <w:p>
      <w:pPr>
        <w:pStyle w:val="Default"/>
        <w:spacing w:after="120"/>
        <w:jc w:val="both"/>
      </w:pPr>
      <w:r>
        <w:t xml:space="preserve">Cement is stored clear of damp surfaces with batch and receipt dates recorded. Hardware purchases are checked against specified sizes, grades and quantities, and returns require supporting documentation. Physical stock checks reconcile bags and hardware lots to the billing records, helping identify moisture damage, shrinkage and slow-moving items early. The reporting plan calls for consistent accounting policies, periodic physical verification and management review of exceptions. Forecast growth is an operating target and should be measured against demonstrated execution rather than treated as an assured result.</w:t>
      </w:r>
    </w:p>
    <w:p>
      <w:pPr>
        <w:spacing w:after="200"/>
      </w:pPr>
    </w:p>
    <w:p>
      <w:pPr>
        <w:pStyle w:val="sectionHeading"/>
        <w:spacing w:after="200" w:before="400"/>
        <w:jc w:val="center"/>
      </w:pPr>
      <w:r>
        <w:t xml:space="preserve">Project Scope and Implementation</w:t>
      </w:r>
    </w:p>
    <w:p>
      <w:pPr>
        <w:pStyle w:val="Default"/>
        <w:spacing w:after="120"/>
        <w:jc w:val="both"/>
      </w:pPr>
      <w:r>
        <w:t xml:space="preserve">The outlet at Plot 12, Industrial Area, Indore combines a display and billing counter with dry cement storage and a segregated hardware area. Storage is planned for approximately 4,000 cement bags at a time, with replenishment tied to the stock-day assumptions and supplier lead times. Dispatch slots and outsourced deliveries are scheduled against confirmed customer orders rather than speculative site demand.</w:t>
      </w:r>
    </w:p>
    <w:p>
      <w:pPr>
        <w:pStyle w:val="Default"/>
        <w:spacing w:after="120"/>
        <w:jc w:val="both"/>
      </w:pPr>
      <w:r>
        <w:t xml:space="preserve">The operating plan employs four warehouse and handling staff, two counter-sales staff and an accounts assistant under the proprietor. Storage preparation, supplier account opening, inventory coding and billing setup precede commencement on 1 April 2026. Customer credit approvals remain with the proprietor; daily cash and bank receipts are reconciled separately from stock movements.</w:t>
      </w:r>
    </w:p>
    <w:p>
      <w:pPr>
        <w:pStyle w:val="Default"/>
        <w:spacing w:after="120"/>
        <w:jc w:val="both"/>
      </w:pPr>
      <w:r>
        <w:t xml:space="preserve">Implementation should proceed through premises readiness, equipment procurement, installation, trial operation and controlled commercial launch. Supplier specifications and service support should be checked before placing orders. Promoter margin is to be introduced in step with disbursement; the bank should verify end use against invoices and the agreed project budget. Any commissioning delay requires a revised sales ramp and repayment forecast before full utilisation of the facilities.</w:t>
      </w:r>
    </w:p>
    <w:p>
      <w:pPr>
        <w:spacing w:after="200"/>
      </w:pPr>
    </w:p>
    <w:p>
      <w:pPr>
        <w:pStyle w:val="sectionHeading"/>
        <w:spacing w:after="200" w:before="400"/>
        <w:jc w:val="center"/>
      </w:pPr>
      <w:r>
        <w:t xml:space="preserve">Operational Plan</w:t>
      </w:r>
    </w:p>
    <w:p>
      <w:pPr>
        <w:pStyle w:val="Default"/>
        <w:spacing w:after="120"/>
        <w:jc w:val="both"/>
      </w:pPr>
      <w:r>
        <w:t xml:space="preserve">The outlet at Plot 12, Industrial Area, Indore combines a display and billing counter with dry cement storage and a segregated hardware area. Storage is planned for approximately 4,000 cement bags at a time, with replenishment tied to the stock-day assumptions and supplier lead times. Dispatch slots and outsourced deliveries are scheduled against confirmed customer orders rather than speculative site demand.</w:t>
      </w:r>
    </w:p>
    <w:p>
      <w:pPr>
        <w:pStyle w:val="Default"/>
        <w:spacing w:after="120"/>
        <w:jc w:val="both"/>
      </w:pPr>
      <w:r>
        <w:t xml:space="preserve">The operating plan employs four warehouse and handling staff, two counter-sales staff and an accounts assistant under the proprietor. Storage preparation, supplier account opening, inventory coding and billing setup precede commencement on 1 April 2026. Customer credit approvals remain with the proprietor; daily cash and bank receipts are reconciled separately from stock movements.</w:t>
      </w:r>
    </w:p>
    <w:p>
      <w:pPr>
        <w:pStyle w:val="Default"/>
        <w:spacing w:after="120"/>
        <w:jc w:val="both"/>
      </w:pPr>
      <w:r>
        <w:t xml:space="preserve">The shop will trade cement bags, hardware and construction fittings. Cement contributes 60% of planned sales at Rs. 350 per bag, while hardware and fittings contribute 40% at Rs. 1,000 per lot in the quantity schedules. Revenue depends on merchandise turnover and controlled trade margins; installation work or unrelated contracting income is not included in the operating plan.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Market Analysis and Opportunity</w:t>
      </w:r>
    </w:p>
    <w:p>
      <w:pPr>
        <w:pStyle w:val="Default"/>
        <w:spacing w:after="120"/>
        <w:jc w:val="both"/>
      </w:pPr>
      <w:r>
        <w:t xml:space="preserve">The target market comprises small contractors, individual home builders, maintenance firms and nearby hardware retailers. Counter sales are collected promptly, while contractor credit is limited to identified orders with agreed payment dates. Delivery charges and unloading responsibilities are clarified when quotations are issued to prevent later disputes over the net recoverable sale amount.</w:t>
      </w:r>
    </w:p>
    <w:p>
      <w:pPr>
        <w:pStyle w:val="Default"/>
        <w:spacing w:after="120"/>
        <w:jc w:val="both"/>
      </w:pPr>
      <w:r>
        <w:t xml:space="preserve">Small construction and repair customers value availability, transparent quotations and reliable site delivery. A focused assortment can serve repeat contractors without requiring the inventory of a large regional stockist. Growth is expected from local customer retention and efficient replenishment, with procurement discounts treated as earned only when their conditions are satisfied.</w:t>
      </w:r>
    </w:p>
    <w:p>
      <w:pPr>
        <w:pStyle w:val="Default"/>
        <w:spacing w:after="120"/>
        <w:jc w:val="both"/>
      </w:pPr>
      <w:r>
        <w:t xml:space="preserve">The forecast assumes disciplined expansion of existing product and service lines, supported by the annual growth and collection assumptions in the schedules. Local competition, customer bargaining power and input-cost changes require regular review of quotations. Before expanding into another territory or customer group, management should compare incremental gross contribution with delivery, staffing and credit costs and retain only business that supports the repayment plan.</w:t>
      </w:r>
    </w:p>
    <w:p>
      <w:pPr>
        <w:spacing w:after="200"/>
      </w:pPr>
    </w:p>
    <w:p>
      <w:pPr>
        <w:pStyle w:val="sectionHeading"/>
        <w:spacing w:after="200" w:before="400"/>
        <w:jc w:val="center"/>
      </w:pPr>
      <w:r>
        <w:t xml:space="preserve">Quality Assurance and Control</w:t>
      </w:r>
    </w:p>
    <w:p>
      <w:pPr>
        <w:pStyle w:val="Default"/>
        <w:spacing w:after="120"/>
        <w:jc w:val="both"/>
      </w:pPr>
      <w:r>
        <w:t xml:space="preserve">Cement is stored clear of damp surfaces with batch and receipt dates recorded. Hardware purchases are checked against specified sizes, grades and quantities, and returns require supporting documentation. Physical stock checks reconcile bags and hardware lots to the billing records, helping identify moisture damage, shrinkage and slow-moving items early.</w:t>
      </w:r>
    </w:p>
    <w:p>
      <w:pPr>
        <w:pStyle w:val="Default"/>
        <w:spacing w:after="120"/>
        <w:jc w:val="both"/>
      </w:pPr>
      <w:r>
        <w:t xml:space="preserve">The outlet at Plot 12, Industrial Area, Indore combines a display and billing counter with dry cement storage and a segregated hardware area. Storage is planned for approximately 4,000 cement bags at a time, with replenishment tied to the stock-day assumptions and supplier lead times. Dispatch slots and outsourced deliveries are scheduled against confirmed customer orders rather than speculative site demand. Operating records should link purchases or inputs to completed output and customer billing, allowing exceptions to be traced promptly. Responsibility for acceptance checks, stock custody and payment approval should be separated wherever staffing permits.</w:t>
      </w:r>
    </w:p>
    <w:p>
      <w:pPr>
        <w:pStyle w:val="Default"/>
        <w:spacing w:after="120"/>
        <w:jc w:val="both"/>
      </w:pPr>
      <w:r>
        <w:t xml:space="preserve">Management should retain supplier documents, maintenance records, customer complaints and corrective-action logs. Quality controls are intended to prevent avoidable returns and interruption as well as meet customer specifications. Periodic review of losses, rework and complaints should feed into costing and training; certifications or approvals should be claimed only after the applicable requirements have been met.</w:t>
      </w:r>
    </w:p>
    <w:p>
      <w:pPr>
        <w:spacing w:after="200"/>
      </w:pPr>
    </w:p>
    <w:p>
      <w:pPr>
        <w:pStyle w:val="sectionHeading"/>
        <w:spacing w:after="200" w:before="400"/>
        <w:jc w:val="center"/>
      </w:pPr>
      <w:r>
        <w:t xml:space="preserve">Risk Assessment and Mitigation</w:t>
      </w:r>
    </w:p>
    <w:p>
      <w:pPr>
        <w:pStyle w:val="Default"/>
        <w:spacing w:after="120"/>
        <w:jc w:val="both"/>
      </w:pPr>
      <w:r>
        <w:t xml:space="preserve">Construction demand can be seasonal, while price changes and contractor delays can compress trading margins. Frequent replenishment, quotation validity limits and deposits on large orders reduce exposure. Credit limits and overdue-account holds protect liquidity; the sales mix is reviewed so that turnover growth is supported by collectable margins rather than extended unsecured credit.</w:t>
      </w:r>
    </w:p>
    <w:p>
      <w:pPr>
        <w:pStyle w:val="Default"/>
        <w:spacing w:after="120"/>
        <w:jc w:val="both"/>
      </w:pPr>
      <w:r>
        <w:t xml:space="preserve">Small construction and repair customers value availability, transparent quotations and reliable site delivery. A focused assortment can serve repeat contractors without requiring the inventory of a large regional stockist. Growth is expected from local customer retention and efficient replenishment, with procurement discounts treated as earned only when their conditions are satisfied. These strengths are balanced by the need to manage utilisation, cost discipline and collection performance. The projection should be stress-tested for lower sales, higher input prices and a longer collection cycle, with repayment reviewed against the resulting cash accruals rather than solely against the base-case margin.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Insurance, supplier continuity arrangements and timely statutory renewals should be reviewed annually. The bank should receive prompt explanations for material deviations from the sanctioned operating assumptions.</w:t>
      </w:r>
    </w:p>
    <w:p>
      <w:pPr>
        <w:spacing w:after="200"/>
      </w:pPr>
    </w:p>
    <w:p>
      <w:pPr>
        <w:pStyle w:val="sectionHeading"/>
        <w:spacing w:after="200" w:before="400"/>
        <w:jc w:val="center"/>
      </w:pPr>
      <w:r>
        <w:t xml:space="preserve">Financial Analysis</w:t>
      </w:r>
    </w:p>
    <w:p>
      <w:pPr>
        <w:pStyle w:val="Default"/>
        <w:spacing w:after="120"/>
        <w:jc w:val="both"/>
      </w:pPr>
      <w:r>
        <w:t xml:space="preserve">For the first reporting year, FY 2026-27, the computed schedules show sales of Rs. 390.00 lakh and net profit of Rs. 27.41 lakh. The first-year current ratio is 1.91 times and the arithmetic average of the annual DSCR values in the repayment schedule is 2.56 times. Final-year sales are Rs. 530.59 lakh with net profit of Rs. 53.89 lakh; these highlights reproduce the report's calculations rather than a separate earnings estimate.</w:t>
      </w:r>
    </w:p>
    <w:p>
      <w:pPr>
        <w:pStyle w:val="Default"/>
        <w:spacing w:after="120"/>
        <w:jc w:val="both"/>
      </w:pPr>
      <w:r>
        <w:t xml:space="preserve">The funding schedule provides a total outlay of Rs. 201.45 lakh, promoter contribution of Rs. 82.80 lakh, term finance of Rs. 97.20 lakh and cash credit of Rs. 21.45 lakh. The term facility is modelled at 9.5% over five years with a six-month moratorium; working-capital interest is modelled at 10%. Security documentation and final repayment terms remain subject to the bank's appraisal and sanction.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Conclusion and Recommendations</w:t>
      </w:r>
    </w:p>
    <w:p>
      <w:pPr>
        <w:pStyle w:val="Default"/>
        <w:spacing w:after="120"/>
        <w:jc w:val="both"/>
      </w:pPr>
      <w:r>
        <w:t xml:space="preserve">FINXORA MART's proposal connects building materials trading shop activity with an identified operating plan, a defined promoter contribution and scheduled bank finance. Small construction and repair customers value availability, transparent quotations and reliable site delivery. A focused assortment can serve repeat contractors without requiring the inventory of a large regional stockist. Growth is expected from local customer retention and efficient replenishment, with procurement discounts treated as earned only when their conditions are satisfied. The computed liquidity and debt-service indicators support consideration of the proposal under the stated assumptions; they should be read with the detailed operating, balance-sheet and repayment schedules.</w:t>
      </w:r>
    </w:p>
    <w:p>
      <w:pPr>
        <w:pStyle w:val="Default"/>
        <w:spacing w:after="120"/>
        <w:jc w:val="both"/>
      </w:pPr>
      <w:r>
        <w:t xml:space="preserve">Construction demand can be seasonal, while price changes and contractor delays can compress trading margins. Frequent replenishment, quotation validity limits and deposits on large orders reduce exposure. Credit limits and overdue-account holds protect liquidity; the sales mix is reviewed so that turnover growth is supported by collectable margins rather than extended unsecured credit. Prior to sanction or renewal, the bank should examine promoter contribution, premises arrangements, equipment quotations, customer demand, statutory permissions and the proposed security. Disbursement should follow documented end use and completion of the agreed conditions.</w:t>
      </w:r>
    </w:p>
    <w:p>
      <w:pPr>
        <w:pStyle w:val="Default"/>
        <w:spacing w:after="120"/>
        <w:jc w:val="both"/>
      </w:pPr>
      <w:r>
        <w:t xml:space="preserve">Management should provide periodic stock, debtor and operating statements and discuss material deviations with the lender. Expansion should remain within demonstrated operational capacity and available working capital. This assessment is conditional on execution of the operating plan and timely collections; it does not constitute a guarantee of sanction, future profit or uninterrupted debt service.</w:t>
      </w:r>
    </w:p>
    <w:p>
      <w:pPr>
        <w:pStyle w:val="Default"/>
        <w:spacing w:after="120"/>
        <w:jc w:val="both"/>
      </w:pPr>
      <w:r>
        <w:t xml:space="preserve">This is a sample report prepared with Finxora; the business and its figures are illustrative.</w:t>
      </w:r>
    </w:p>
    <w:p>
      <w:pPr>
        <w:spacing w:after="200"/>
      </w:pPr>
    </w:p>
    <w:p>
      <w:r>
        <w:br w:type="page"/>
      </w:r>
    </w:p>
    <w:p>
      <w:pPr>
        <w:pStyle w:val="sectionHeading"/>
        <w:spacing w:after="200"/>
        <w:jc w:val="center"/>
      </w:pPr>
      <w:r>
        <w:t xml:space="preserve">Sales &amp; Purchase Breakdown</w:t>
      </w:r>
    </w:p>
    <w:p>
      <w:pPr>
        <w:spacing w:before="200" w:after="100"/>
      </w:pPr>
      <w:r>
        <w:rPr>
          <w:b/>
          <w:bCs/>
          <w:color w:val="000000"/>
          <w:sz w:val="24"/>
          <w:szCs w:val="24"/>
        </w:rPr>
        <w:t xml:space="preserve">Sales</w:t>
      </w:r>
    </w:p>
    <w:p>
      <w:pPr>
        <w:spacing w:before="160" w:after="80"/>
      </w:pPr>
      <w:r>
        <w:rPr>
          <w:b/>
          <w:bCs/>
          <w:i/>
          <w:iCs/>
          <w:color w:val="000000"/>
          <w:sz w:val="20"/>
          <w:szCs w:val="20"/>
        </w:rPr>
        <w:t xml:space="preserve">Sales - Monthly Bifurcation (Quantity x Rate)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40%"/>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Quantity</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Rate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32,50,000.00</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5,571.43</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350.00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19,50,000.00</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1,300.00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1,000.00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13,00,000.00</w:t>
            </w:r>
          </w:p>
        </w:tc>
      </w:tr>
      <w:tr>
        <w:tc>
          <w:tcPr>
            <w:tcW w:type="pct" w:w="40%"/>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65,00,000.00</w:t>
            </w:r>
          </w:p>
        </w:tc>
      </w:tr>
    </w:tbl>
    <w:p>
      <w:pPr>
        <w:spacing w:before="160" w:after="80"/>
      </w:pPr>
      <w:r>
        <w:rPr>
          <w:b/>
          <w:bCs/>
          <w:i/>
          <w:iCs/>
          <w:color w:val="000000"/>
          <w:sz w:val="20"/>
          <w:szCs w:val="20"/>
        </w:rPr>
        <w:t xml:space="preserve">Sales - Yearly Projection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32,50,000.00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3,90,00,000.00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5,571.43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66,857.14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19,50,000.00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2,34,00,000.00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15,600.00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13,00,000.00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1,56,00,000.00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65,00,000.00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7,80,00,000.00</w:t>
            </w:r>
          </w:p>
        </w:tc>
      </w:tr>
    </w:tbl>
    <w:p>
      <w:pPr>
        <w:spacing w:before="160" w:after="80"/>
      </w:pPr>
      <w:r>
        <w:rPr>
          <w:b/>
          <w:bCs/>
          <w:i/>
          <w:iCs/>
          <w:color w:val="000000"/>
          <w:sz w:val="20"/>
          <w:szCs w:val="20"/>
        </w:rPr>
        <w:t xml:space="preserve">Sales - Yearly Projection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35,10,000.00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4,21,20,000.00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6,964.29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83,571.43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24,37,500.00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2,92,50,000.00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1,625.00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19,500.00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16,25,000.00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1,95,00,000.00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75,72,500.00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9,08,70,000.00</w:t>
            </w:r>
          </w:p>
        </w:tc>
      </w:tr>
    </w:tbl>
    <w:p>
      <w:pPr>
        <w:spacing w:before="160" w:after="80"/>
      </w:pPr>
      <w:r>
        <w:rPr>
          <w:b/>
          <w:bCs/>
          <w:i/>
          <w:iCs/>
          <w:color w:val="000000"/>
          <w:sz w:val="20"/>
          <w:szCs w:val="20"/>
        </w:rPr>
        <w:t xml:space="preserve">Sales - Yearly Projection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37,90,800.00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4,54,89,600.00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8,705.36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1,04,464.29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30,46,875.00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3,65,62,500.00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2,031.25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24,375.00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20,31,250.00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2,43,75,000.00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88,68,925.00</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10,64,27,100.00</w:t>
            </w:r>
          </w:p>
        </w:tc>
      </w:tr>
    </w:tbl>
    <w:p>
      <w:pPr>
        <w:spacing w:before="160" w:after="80"/>
      </w:pPr>
      <w:r>
        <w:rPr>
          <w:b/>
          <w:bCs/>
          <w:i/>
          <w:iCs/>
          <w:color w:val="000000"/>
          <w:sz w:val="20"/>
          <w:szCs w:val="20"/>
        </w:rPr>
        <w:t xml:space="preserve">Sales - Yearly Projection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40,94,064.00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4,91,28,768.00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10,881.70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1,30,580.36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38,08,593.75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4,57,03,125.00</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2,539.06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30,468.75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25,39,062.50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3,04,68,750.00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1,04,41,720.25</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12,53,00,643.00</w:t>
            </w:r>
          </w:p>
        </w:tc>
      </w:tr>
    </w:tbl>
    <w:p>
      <w:pPr>
        <w:spacing w:before="160" w:after="80"/>
      </w:pPr>
      <w:r>
        <w:rPr>
          <w:b/>
          <w:bCs/>
          <w:i/>
          <w:iCs/>
          <w:color w:val="000000"/>
          <w:sz w:val="20"/>
          <w:szCs w:val="20"/>
        </w:rPr>
        <w:t xml:space="preserve">Sales - Yearly Projection (Year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Sales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44,21,589.12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5,30,59,069.44</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13,602.12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1,63,225.45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47,60,742.19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5,71,28,906.25</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3,173.83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38,085.94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31,73,828.13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3,80,85,937.50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1,23,56,159.43</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14,82,73,913.19</w:t>
            </w:r>
          </w:p>
        </w:tc>
      </w:tr>
    </w:tbl>
    <w:p>
      <w:pPr>
        <w:spacing w:before="200" w:after="100"/>
      </w:pPr>
      <w:r>
        <w:rPr>
          <w:b/>
          <w:bCs/>
          <w:color w:val="000000"/>
          <w:sz w:val="24"/>
          <w:szCs w:val="24"/>
        </w:rPr>
        <w:t xml:space="preserve">Purchase</w:t>
      </w:r>
    </w:p>
    <w:p>
      <w:pPr>
        <w:spacing w:before="160" w:after="80"/>
      </w:pPr>
      <w:r>
        <w:rPr>
          <w:b/>
          <w:bCs/>
          <w:i/>
          <w:iCs/>
          <w:color w:val="000000"/>
          <w:sz w:val="20"/>
          <w:szCs w:val="20"/>
        </w:rPr>
        <w:t xml:space="preserve">Purchase - Monthly Bifurcation (Quantity x Rate)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40%"/>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Quantity</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Rate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25,56,815.07</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 (for Cement bags @ 100% recovery)</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5,571.43</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275.35</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15,34,089.04</w:t>
            </w:r>
          </w:p>
        </w:tc>
      </w:tr>
      <w:tr>
        <w:tc>
          <w:tcPr>
            <w:tcW w:type="pct" w:w="40%"/>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 (for Hardware and fittings @ 100% recovery)</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1,300.00</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786.71</w:t>
            </w:r>
          </w:p>
        </w:tc>
        <w:tc>
          <w:tcPr>
            <w:tcW w:type="pct" w:w="15%"/>
            <w:tcBorders>
              <w:top w:val="single" w:color="000000" w:sz="1"/>
              <w:left w:val="single" w:color="000000" w:sz="1"/>
              <w:bottom w:val="single" w:color="000000" w:sz="1"/>
              <w:right w:val="single" w:color="000000" w:sz="1"/>
            </w:tcBorders>
          </w:tcPr>
          <w:p>
            <w:pPr>
              <w:jc w:val="right"/>
            </w:pPr>
            <w:r>
              <w:rPr>
                <w:b w:val="false"/>
                <w:bCs w:val="false"/>
                <w:color w:val="000000"/>
              </w:rPr>
              <w:t xml:space="preserve">10,22,726.03</w:t>
            </w:r>
          </w:p>
        </w:tc>
      </w:tr>
      <w:tr>
        <w:tc>
          <w:tcPr>
            <w:tcW w:type="pct" w:w="40%"/>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5%"/>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51,13,630.14</w:t>
            </w:r>
          </w:p>
        </w:tc>
      </w:tr>
    </w:tbl>
    <w:p>
      <w:pPr>
        <w:spacing w:before="160" w:after="80"/>
      </w:pPr>
      <w:r>
        <w:rPr>
          <w:b/>
          <w:bCs/>
          <w:i/>
          <w:iCs/>
          <w:color w:val="000000"/>
          <w:sz w:val="20"/>
          <w:szCs w:val="20"/>
        </w:rPr>
        <w:t xml:space="preserve">Purchase - Yearly Projection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25,56,815.07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3,06,81,780.82</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5,571.43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66,857.14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15,34,089.04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1,84,09,068.48</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15,600.00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10,22,726.03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1,22,72,712.36</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51,13,630.14</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6,13,63,561.66</w:t>
            </w:r>
          </w:p>
        </w:tc>
      </w:tr>
    </w:tbl>
    <w:p>
      <w:pPr>
        <w:spacing w:before="160" w:after="80"/>
      </w:pPr>
      <w:r>
        <w:rPr>
          <w:b/>
          <w:bCs/>
          <w:i/>
          <w:iCs/>
          <w:color w:val="000000"/>
          <w:sz w:val="20"/>
          <w:szCs w:val="20"/>
        </w:rPr>
        <w:t xml:space="preserve">Purchase - Yearly Projection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25,12,045.21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3,01,44,542.47</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6,407.14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76,885.71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17,64,202.40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2,11,70,428.75</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1,495.00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17,940.00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11,76,134.93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1,41,13,619.21</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54,52,382.54</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6,54,28,590.44</w:t>
            </w:r>
          </w:p>
        </w:tc>
      </w:tr>
    </w:tbl>
    <w:p>
      <w:pPr>
        <w:spacing w:before="160" w:after="80"/>
      </w:pPr>
      <w:r>
        <w:rPr>
          <w:b/>
          <w:bCs/>
          <w:i/>
          <w:iCs/>
          <w:color w:val="000000"/>
          <w:sz w:val="20"/>
          <w:szCs w:val="20"/>
        </w:rPr>
        <w:t xml:space="preserve">Purchase - Yearly Projection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27,13,008.82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3,25,56,105.86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7,368.21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88,418.57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20,28,832.76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2,43,45,993.06</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1,719.25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20,631.00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13,52,555.17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1,62,30,662.10</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60,94,396.75</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7,31,32,761.02</w:t>
            </w:r>
          </w:p>
        </w:tc>
      </w:tr>
    </w:tbl>
    <w:p>
      <w:pPr>
        <w:spacing w:before="160" w:after="80"/>
      </w:pPr>
      <w:r>
        <w:rPr>
          <w:b/>
          <w:bCs/>
          <w:i/>
          <w:iCs/>
          <w:color w:val="000000"/>
          <w:sz w:val="20"/>
          <w:szCs w:val="20"/>
        </w:rPr>
        <w:t xml:space="preserve">Purchase - Yearly Projection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29,30,049.53</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3,51,60,594.33</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8,473.45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1,01,681.36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23,33,157.67</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2,79,97,892.02</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1,977.14</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23,725.65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15,55,438.45</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1,86,65,261.41</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68,18,645.65</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8,18,23,747.77</w:t>
            </w:r>
          </w:p>
        </w:tc>
      </w:tr>
    </w:tbl>
    <w:p>
      <w:pPr>
        <w:spacing w:before="160" w:after="80"/>
      </w:pPr>
      <w:r>
        <w:rPr>
          <w:b/>
          <w:bCs/>
          <w:i/>
          <w:iCs/>
          <w:color w:val="000000"/>
          <w:sz w:val="20"/>
          <w:szCs w:val="20"/>
        </w:rPr>
        <w:t xml:space="preserve">Purchase - Yearly Projection (Year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8%"/>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Unit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Annual Qty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Monthly Amount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jc w:val="center"/>
            </w:pPr>
            <w:r>
              <w:rPr>
                <w:b/>
                <w:bCs/>
                <w:color w:val="FFFFFF"/>
              </w:rPr>
              <w:t xml:space="preserve">Yearly Amount</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Purchase of Goods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31,64,453.49</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3,79,73,441.88</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Cement bags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bag</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9,744.46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1,16,933.56</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26,83,131.32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3,21,97,575.83</w:t>
            </w:r>
          </w:p>
        </w:tc>
      </w:tr>
      <w:tr>
        <w:tc>
          <w:tcPr>
            <w:tcW w:type="pct" w:w="28%"/>
            <w:tcBorders>
              <w:top w:val="single" w:color="000000" w:sz="1"/>
              <w:left w:val="single" w:color="000000" w:sz="1"/>
              <w:bottom w:val="single" w:color="000000" w:sz="1"/>
              <w:right w:val="single" w:color="000000" w:sz="1"/>
            </w:tcBorders>
          </w:tcPr>
          <w:p>
            <w:pPr>
              <w:jc w:val="left"/>
            </w:pPr>
            <w:r>
              <w:rPr>
                <w:b w:val="false"/>
                <w:bCs w:val="false"/>
                <w:color w:val="000000"/>
              </w:rPr>
              <w:t xml:space="preserve">Hardware and fittings</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lot</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2,273.71</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27,284.50</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17,88,754.22</w:t>
            </w:r>
          </w:p>
        </w:tc>
        <w:tc>
          <w:tcPr>
            <w:tcW w:type="pct" w:w="12%"/>
            <w:tcBorders>
              <w:top w:val="single" w:color="000000" w:sz="1"/>
              <w:left w:val="single" w:color="000000" w:sz="1"/>
              <w:bottom w:val="single" w:color="000000" w:sz="1"/>
              <w:right w:val="single" w:color="000000" w:sz="1"/>
            </w:tcBorders>
          </w:tcPr>
          <w:p>
            <w:pPr>
              <w:jc w:val="right"/>
            </w:pPr>
            <w:r>
              <w:rPr>
                <w:b w:val="false"/>
                <w:bCs w:val="false"/>
                <w:color w:val="000000"/>
              </w:rPr>
              <w:t xml:space="preserve">2,14,65,050.62</w:t>
            </w:r>
          </w:p>
        </w:tc>
      </w:tr>
      <w:tr>
        <w:tc>
          <w:tcPr>
            <w:tcW w:type="pct" w:w="28%"/>
            <w:tcBorders>
              <w:top w:val="single" w:color="000000" w:sz="1"/>
              <w:left w:val="single" w:color="000000" w:sz="1"/>
              <w:bottom w:val="single" w:color="000000" w:sz="1"/>
              <w:right w:val="single" w:color="000000" w:sz="1"/>
            </w:tcBorders>
            <w:shd w:fill="677b98" w:color="677b98" w:val="solid"/>
          </w:tcPr>
          <w:p>
            <w:pPr>
              <w:jc w:val="left"/>
            </w:pPr>
            <w:r>
              <w:rPr>
                <w:b/>
                <w:bCs/>
                <w:color w:val="000000"/>
              </w:rPr>
              <w:t xml:space="preserve">Total Purchase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12</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76,36,339.03</w:t>
            </w:r>
          </w:p>
        </w:tc>
        <w:tc>
          <w:tcPr>
            <w:tcW w:type="pct" w:w="12%"/>
            <w:tcBorders>
              <w:top w:val="single" w:color="000000" w:sz="1"/>
              <w:left w:val="single" w:color="000000" w:sz="1"/>
              <w:bottom w:val="single" w:color="000000" w:sz="1"/>
              <w:right w:val="single" w:color="000000" w:sz="1"/>
            </w:tcBorders>
            <w:shd w:fill="677b98" w:color="677b98" w:val="solid"/>
          </w:tcPr>
          <w:p>
            <w:pPr>
              <w:jc w:val="right"/>
            </w:pPr>
            <w:r>
              <w:rPr>
                <w:b/>
                <w:bCs/>
                <w:color w:val="000000"/>
              </w:rPr>
              <w:t xml:space="preserve">9,16,36,068.33</w:t>
            </w:r>
          </w:p>
        </w:tc>
      </w:tr>
    </w:tbl>
    <w:p>
      <w:r>
        <w:br w:type="page"/>
      </w:r>
    </w:p>
    <w:p>
      <w:pPr>
        <w:pStyle w:val="sectionHeading"/>
        <w:spacing w:after="200"/>
        <w:jc w:val="center"/>
      </w:pPr>
      <w:r>
        <w:t xml:space="preserve">Revenue &amp; expenses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60"/>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Monthly Amount</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 &amp; Revenue</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Cement bags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19,50,000.00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Hardware and fittings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13,00,000.00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Sales Revenue</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32,50,000.00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Purchases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Cement bags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15,34,089.04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Hardware and fittings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10,22,726.03</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Purchases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25,56,815.07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Administrative Expenses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Salaries &amp; Wages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Rent</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31,200.00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Utilities (Electricity, Water, etc.)</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20,800.00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Office Supplies &amp; Stationery</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Communication (Phone, Internet)</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Travel &amp; Conveyance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15,600.00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Professional Fees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10,400.00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Insurance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10,400.00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Repairs &amp; Maintenance</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15,600.00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Bank Charges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5,200.00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Administrative Expenses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2,02,800.00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Selling &amp; Distribution Expenses</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Advertising &amp; Marketing</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Freight &amp; Transportation</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Direct Expenses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5,200.00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Power &amp; Fuel</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32,500.00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Warehouse handling wages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distribution costs</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32,500.00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Selling &amp; Distribution Expenses</w:t>
            </w:r>
          </w:p>
        </w:tc>
        <w:tc>
          <w:tcPr>
            <w:tcW w:type="pct" w:w="60%"/>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1,87,200.00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Closing Stock</w:t>
            </w:r>
          </w:p>
        </w:tc>
        <w:tc>
          <w:tcPr>
            <w:tcW w:type="pct" w:w="6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Closing Stock Value (yearly)</w:t>
            </w:r>
          </w:p>
        </w:tc>
        <w:tc>
          <w:tcPr>
            <w:tcW w:type="pct" w:w="60%"/>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29,91,780.82</w:t>
            </w:r>
          </w:p>
        </w:tc>
      </w:tr>
    </w:tbl>
    <w:p>
      <w:pPr>
        <w:spacing w:after="400"/>
      </w:pPr>
    </w:p>
    <w:p>
      <w:r>
        <w:br w:type="page"/>
      </w:r>
    </w:p>
    <w:p>
      <w:pPr>
        <w:pStyle w:val="sectionHeading"/>
        <w:spacing w:after="200"/>
        <w:jc w:val="center"/>
      </w:pPr>
      <w:r>
        <w:t xml:space="preserve">Profit &amp; Loss Account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Merchandise sales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4,54,89,600.00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4,91,28,768.00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5,30,59,069.44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3,90,00,000.00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4,21,20,000.00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4,54,89,600.00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4,91,28,768.00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5,30,59,069.44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Closing Stock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29,91,780.82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32,31,123.29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34,89,613.15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37,68,782.20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40,70,284.78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 Stock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29,91,780.82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32,31,123.29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34,89,613.15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37,68,782.20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PURCHASES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Merchandise purchases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3,06,81,780.82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3,01,44,542.47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3,25,56,105.86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3,51,60,594.33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3,79,73,441.88</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Purchases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3,06,81,780.82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3,01,44,542.47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3,25,56,105.86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3,51,60,594.33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3,79,73,441.88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Advertising &amp; Marketing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3,12,000.00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3,36,960.00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3,63,916.80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3,93,030.14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4,24,472.56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Freight &amp; Transportation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3,12,000.00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3,36,960.00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3,63,916.80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3,93,030.14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4,24,472.56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67,392.00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72,783.36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78,606.03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84,894.51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Power &amp; Fuel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4,54,896.00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4,91,287.68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5,30,590.69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Warehouse handling wages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8,42,400.00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9,09,792.00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9,82,575.36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10,61,181.39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distribution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4,54,896.00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4,91,287.68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5,30,590.69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Direct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22,46,400.00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24,26,112.00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26,20,200.96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28,29,817.03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30,56,202.40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GROSS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90,63,600.00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97,88,688.00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1,05,71,783.04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1,14,17,525.69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1,23,30,927.74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INDIRECT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Salaries &amp; Wages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9,36,000.00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10,10,880.00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10,91,750.40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11,79,090.43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12,73,417.67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Rent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3,74,400.00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4,04,352.00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4,36,700.16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4,71,636.17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5,09,367.07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Utilities (Electricity, Water, etc.)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2,69,568.00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2,91,133.44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3,14,424.12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3,39,578.04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Office Supplies &amp; Stationery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1,01,088.00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1,09,175.04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1,17,909.04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1,27,341.77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Communication (Phone, Internet)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93,600.00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1,01,088.00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1,09,175.04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1,17,909.04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1,27,341.77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Travel &amp; Conveyance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1,87,200.00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2,02,176.00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2,18,350.08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2,35,818.09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2,54,683.53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Professional Fees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1,24,800.00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1,34,784.00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1,45,566.72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1,57,212.06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1,69,789.02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Insurance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1,24,800.00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1,34,784.00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1,45,566.72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1,57,212.06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1,69,789.02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Repairs &amp; Maintenance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1,87,200.00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2,02,176.00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2,18,350.08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2,35,818.09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2,54,683.53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Charges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67,392.00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72,783.36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78,606.03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84,894.51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on WCL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9,06,003.35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7,57,576.70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5,68,477.29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3,60,610.23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1,32,112.86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Indirect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57,14,103.35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54,63,364.70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52,29,378.33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50,29,287.87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48,57,442.91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EBDIT (PBDIT)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66,30,000.00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71,60,400.00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77,33,232.00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83,51,890.56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90,20,041.81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Profit Before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33,49,496.65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43,25,323.30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53,42,404.71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63,88,237.82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74,73,484.83</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Provision for Income Tax</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6,08,242.96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9,12,700.87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13,53,033.29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17,11,963.22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20,84,419.99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PROFIT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27,41,253.69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34,12,622.43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39,89,371.42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46,76,274.60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53,89,064.84</w:t>
            </w:r>
          </w:p>
        </w:tc>
      </w:tr>
    </w:tbl>
    <w:p>
      <w:pPr>
        <w:spacing w:after="400"/>
      </w:pPr>
    </w:p>
    <w:p>
      <w:r>
        <w:br w:type="page"/>
      </w:r>
    </w:p>
    <w:p>
      <w:pPr>
        <w:pStyle w:val="sectionHeading"/>
        <w:spacing w:after="200"/>
        <w:jc w:val="center"/>
      </w:pPr>
      <w:r>
        <w:t xml:space="preserve">Cash Flow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Cash Inflow</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82,80,000.00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Subsidy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Termloan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97,20,000.00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25,04,818.30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4,56,183.94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6,04,196.53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5,35,903.17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5,63,587.87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Investments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Profit before tax with interest</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44,70,000.00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52,97,400.00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61,25,382.00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69,63,348.05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78,20,097.69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Cash Inflow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2,92,79,818.30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76,16,583.94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83,37,428.53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88,87,793.73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95,83,629.68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Cash Outflow</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Fixed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61,97,260.27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4,95,780.83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5,35,443.28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5,78,278.75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6,24,541.06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Increase in Investments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9,06,003.35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7,57,576.70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5,68,477.29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3,60,610.23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1,32,112.86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WCL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7,36,361.61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18,90,364.68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20,77,978.80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22,84,213.18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25,10,915.82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Drawing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4,11,188.05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5,11,893.36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5,98,405.71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7,01,441.19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8,08,359.72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Provision for Income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6,08,242.96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9,12,700.87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13,53,033.29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17,11,963.22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20,84,419.99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Decrease in Non-Term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Cash Outflow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2,70,73,556.24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47,82,816.44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53,47,838.37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58,51,006.57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63,74,849.45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 balance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22,06,262.07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50,40,029.56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80,29,619.72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1,10,66,406.89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Cashflow</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22,06,262.07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28,33,767.49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29,89,590.16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30,36,787.17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32,08,780.20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Closing balance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22,06,262.07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50,40,029.56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80,29,619.72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1,10,66,406.89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1,42,75,187.09</w:t>
            </w:r>
          </w:p>
        </w:tc>
      </w:tr>
    </w:tbl>
    <w:p>
      <w:pPr>
        <w:spacing w:after="400"/>
      </w:pPr>
    </w:p>
    <w:p>
      <w:r>
        <w:br w:type="page"/>
      </w:r>
    </w:p>
    <w:p>
      <w:pPr>
        <w:pStyle w:val="sectionHeading"/>
        <w:spacing w:after="200"/>
        <w:jc w:val="center"/>
      </w:pPr>
      <w:r>
        <w:t xml:space="preserve">Balance 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CAPITAL ACCOUNT</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82,80,000.00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1,06,10,065.64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1,35,10,794.71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1,69,01,760.42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2,08,76,593.83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Profit &amp; Loss A/c</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27,41,253.69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34,12,622.43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39,89,371.42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46,76,274.60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53,89,064.84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Drawings (Withdrawal)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4,11,188.05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5,11,893.36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5,98,405.71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7,01,441.19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8,08,359.72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WORTH</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1,06,10,065.64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1,35,10,794.71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1,69,01,760.42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2,08,76,593.83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2,54,57,298.95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LOAN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21,45,000.00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LOAN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21,45,000.00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Sundry Creditor (Trade)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18,96,575.34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20,48,301.37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22,12,165.48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23,89,138.72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25,80,269.82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Provision for Income Tax</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6,08,242.96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9,12,700.87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13,53,033.29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17,11,963.22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20,84,419.99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Portion of 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18,90,364.68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20,77,978.80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22,84,213.18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25,10,915.82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43,95,182.98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50,38,981.04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58,49,411.95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66,12,017.76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46,64,689.81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TERM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Term Loan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70,93,273.72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50,15,294.91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27,31,081.73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2,20,165.92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2,20,165.92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TERM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70,93,273.72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50,15,294.91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27,31,081.73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2,20,165.92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2,20,165.92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NON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EQUITY + LIABILITY</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2,42,43,522.34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2,57,10,070.66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2,76,27,254.10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2,98,53,777.51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3,24,87,154.68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FIXED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Gross Block</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1,58,40,000.00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1,39,77,000.00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1,23,69,150.00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1,09,80,607.51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Depreciation to date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NET BLOCK</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1,58,40,000.00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1,39,77,000.00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1,23,69,150.00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1,09,80,607.49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97,80,663.39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Cash &amp; Cash Equivalents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22,06,262.07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50,40,029.56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80,29,619.72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1,10,66,406.89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1,42,75,187.09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Inventory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29,91,780.82</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32,31,123.29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34,89,613.15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37,68,782.20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40,70,284.78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Sundry Debtors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32,05,479.45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34,61,917.81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37,38,871.23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40,37,980.93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43,61,019.41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84,03,522.34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1,17,33,070.66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1,52,58,104.10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1,88,73,170.02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2,27,06,491.28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NON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2,42,43,522.34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2,57,10,070.66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2,76,27,254.10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2,98,53,777.51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3,24,87,154.67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Difference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0.01</w:t>
            </w:r>
          </w:p>
        </w:tc>
      </w:tr>
    </w:tbl>
    <w:p>
      <w:pPr>
        <w:spacing w:after="400"/>
      </w:pPr>
    </w:p>
    <w:p>
      <w:r>
        <w:br w:type="page"/>
      </w:r>
    </w:p>
    <w:p>
      <w:pPr>
        <w:pStyle w:val="sectionHeading"/>
        <w:spacing w:after="200"/>
        <w:jc w:val="center"/>
      </w:pPr>
      <w:r>
        <w:t xml:space="preserve">Depreciation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Land</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18,00,000.00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Building</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32,80,500.00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29,52,450.00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32,80,500.00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29,52,450.00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3,64,500.00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3,28,050.00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2,95,245.00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40,50,000.00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36,45,000.00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32,80,500.00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29,52,450.00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26,57,205.00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Furniture &amp; Fixtures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7,29,000.00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6,56,100.00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5,90,490.00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7,29,000.00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6,56,100.00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5,90,490.00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72,900.00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65,610.00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59,049.00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7,29,000.00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6,56,100.00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5,90,490.00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5,31,441.00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Plant &amp; Machinery</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68,85,000.00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58,52,250.00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49,74,412.50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42,28,250.63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81,00,000.00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68,85,000.00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58,52,250.00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49,74,412.50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42,28,250.63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12,15,000.00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10,32,750.00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8,77,837.50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7,46,161.88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6,34,237.59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68,85,000.00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58,52,250.00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49,74,412.50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42,28,250.63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35,94,013.04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Vehicles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22,95,000.00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19,50,750.00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16,58,137.50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14,09,416.88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22,95,000.00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19,50,750.00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16,58,137.50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14,09,416.88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3,44,250.00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2,92,612.50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2,48,720.63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2,11,412.53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22,95,000.00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19,50,750.00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16,58,137.50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14,09,416.88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11,98,004.35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Opening</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1,58,40,000.00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1,39,77,000.00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1,23,69,150.00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1,09,80,607.51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During the Year</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Gross Block</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1,80,00,000.00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1,58,40,000.00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1,39,77,000.00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1,23,69,150.00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1,09,80,607.51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less depreciation</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21,60,000.00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18,63,000.00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16,07,850.00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13,88,542.51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Adjust (Dep) (Add/Less)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written down value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1,58,40,000.00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1,39,77,000.00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1,23,69,150.00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1,09,80,607.51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right"/>
            </w:pPr>
            <w:r>
              <w:rPr>
                <w:b w:val="false"/>
                <w:bCs w:val="false"/>
                <w:color w:val="FFFFFF"/>
              </w:rPr>
              <w:t xml:space="preserve">97,80,663.39</w:t>
            </w:r>
          </w:p>
        </w:tc>
      </w:tr>
    </w:tbl>
    <w:p>
      <w:pPr>
        <w:spacing w:after="400"/>
      </w:pPr>
    </w:p>
    <w:p>
      <w:r>
        <w:br w:type="page"/>
      </w:r>
    </w:p>
    <w:p>
      <w:pPr>
        <w:pStyle w:val="sectionHeading"/>
        <w:spacing w:after="200"/>
        <w:jc w:val="center"/>
      </w:pPr>
      <w:r>
        <w:t xml:space="preserve">Breakeven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2029-2030</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2030-2031</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Sales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Total Sales Revenue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3,90,00,000.00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4,21,20,000.00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4,54,89,600.00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4,91,28,768.00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5,30,59,069.44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Cost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Fixed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57,14,103.35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54,63,364.70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52,29,378.33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50,29,287.87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48,57,442.91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Variable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2,99,36,400.00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3,23,31,312.00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3,49,17,816.96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3,77,11,242.31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4,07,28,141.70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Total Costs</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3,56,50,503.35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3,77,94,676.70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4,01,47,195.29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4,27,40,530.18</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4,55,85,584.61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Contribution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Margin</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90,63,600.00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97,88,688.00</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1,05,71,783.04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1,14,17,525.69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1,23,30,927.74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Contribution Ratio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23.24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Break-Even Analysis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Break-even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2,45,87,363.81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2,35,08,453.96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2,25,01,627.93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2,16,40,653.47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2,09,01,217.34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Break-even Point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63.04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55.81</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49.47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44.05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39.39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Margin of Safety (Value)</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1,44,12,636.19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1,86,11,546.04</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2,29,87,972.07</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2,74,88,114.53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3,21,57,852.10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  Margin of Safety (%)</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36.96</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44.19</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50.53</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55.95</w:t>
            </w:r>
          </w:p>
        </w:tc>
        <w:tc>
          <w:tcPr>
            <w:tcW w:type="pct" w:w="12%"/>
            <w:tcBorders>
              <w:top w:val="single" w:color="000000" w:sz="1"/>
              <w:left w:val="single" w:color="000000" w:sz="1"/>
              <w:bottom w:val="single" w:color="000000" w:sz="1"/>
              <w:right w:val="single" w:color="000000" w:sz="1"/>
            </w:tcBorders>
            <w:vAlign w:val="center"/>
          </w:tcPr>
          <w:p>
            <w:pPr>
              <w:pStyle w:val="Default"/>
              <w:jc w:val="right"/>
            </w:pPr>
            <w:r>
              <w:rPr>
                <w:b w:val="false"/>
                <w:bCs w:val="false"/>
                <w:color w:val="000000"/>
              </w:rPr>
              <w:t xml:space="preserve">60.61</w:t>
            </w:r>
          </w:p>
        </w:tc>
      </w:tr>
    </w:tbl>
    <w:p>
      <w:pPr>
        <w:spacing w:after="400"/>
      </w:pPr>
    </w:p>
    <w:p>
      <w:r>
        <w:br w:type="page"/>
      </w:r>
    </w:p>
    <w:p>
      <w:pPr>
        <w:pStyle w:val="sectionHeading"/>
        <w:spacing w:after="200"/>
        <w:jc w:val="center"/>
      </w:pPr>
      <w:r>
        <w:t xml:space="preserve">EMI Repayment Schedule for Term Loan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Height w:val="400" w:hRule="atLeast"/>
        </w:trPr>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Payment Date</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Opening Bal.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EMI</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Principal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Interest</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Closing Bal.</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97,20,000.00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1,44,958.90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76,950.00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95,75,041.10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95,75,041.10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1,46,106.49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75,802.41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94,28,934.61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94,28,934.61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1,47,263.16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74,645.73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92,81,671.45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92,81,671.45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1,48,429.00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73,479.90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91,33,242.45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91,33,242.45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1,49,604.06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72,304.84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89,83,638.39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89,83,638.39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1,50,788.43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71,120.47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88,32,849.97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88,32,849.97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1,51,982.17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69,926.73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86,80,867.80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86,80,867.80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1,53,185.36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68,723.54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85,27,682.44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85,27,682.44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1,54,398.08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67,510.82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83,73,284.36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83,73,284.36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1,55,620.40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66,288.50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82,17,663.96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82,17,663.96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1,56,852.39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65,056.51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80,60,811.57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80,60,811.57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1,58,094.14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63,814.76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79,02,717.44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79,02,717.44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1,59,345.72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62,563.18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77,43,371.72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77,43,371.72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1,60,607.20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61,301.69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75,82,764.51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75,82,764.51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1,61,878.68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60,030.22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74,20,885.84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74,20,885.84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1,63,160.22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58,748.68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72,57,725.62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72,57,725.62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1,64,451.90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57,456.99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70,93,273.72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70,93,273.72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1,65,753.81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56,155.08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69,27,519.90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69,27,519.90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1,67,066.03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54,842.87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67,60,453.87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67,60,453.87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1,68,388.64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53,520.26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65,92,065.23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65,92,065.23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1,69,721.71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52,187.18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64,22,343.52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64,22,343.52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1,71,065.34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50,843.55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62,51,278.18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62,51,278.18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1,72,419.61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49,489.29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60,78,858.57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60,78,858.57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1,73,784.60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48,124.30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59,05,073.97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59,05,073.97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1,75,160.39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46,748.50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57,29,913.57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57,29,913.57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1,76,547.08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45,361.82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55,53,366.49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55,53,366.49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1,77,944.75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43,964.15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53,75,421.74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53,75,421.74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1,79,353.47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42,555.42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51,96,068.27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51,96,068.27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1,80,773.36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41,135.54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50,15,294.91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50,15,294.91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1,82,204.48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39,704.42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48,33,090.43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48,33,090.43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1,83,646.93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38,261.97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46,49,443.50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46,49,443.50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1,85,100.80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36,808.09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44,64,342.70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44,64,342.70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1,86,566.18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35,342.71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42,77,776.52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42,77,776.52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1,88,043.17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33,865.73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40,89,733.35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40,89,733.35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1,89,531.84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32,377.06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39,00,201.51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39,00,201.51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1,91,032.30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30,876.60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37,09,169.21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37,09,169.21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1,92,544.64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29,364.26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35,16,624.57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35,16,624.57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1,94,068.95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27,839.94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33,22,555.62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33,22,555.62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1,95,605.33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26,303.57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31,26,950.28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31,26,950.28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1,97,153.87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24,755.02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29,29,796.41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29,29,796.41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1,98,714.68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23,194.22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27,31,081.73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27,31,081.73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2,00,287.83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21,621.06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25,30,793.90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25,30,793.90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2,01,873.45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20,035.45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23,28,920.46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23,28,920.46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2,03,471.61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18,437.29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21,25,448.85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21,25,448.85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2,05,082.43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16,826.47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19,20,366.42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19,20,366.42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2,06,706.00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15,202.90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17,13,660.42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17,13,660.42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2,08,342.42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13,566.48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15,05,318.01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15,05,318.01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2,09,991.80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11,917.10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12,95,326.21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12,95,326.21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2,11,654.23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10,254.67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10,83,671.98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10,83,671.98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2,13,329.83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8,579.07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8,70,342.15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8,70,342.15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2,15,018.69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6,890.21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6,55,323.46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6,55,323.46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2,16,720.92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5,187.98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4,38,602.54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4,38,602.54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2,18,436.63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3,472.27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2,20,165.92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2,20,165.92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2,21,908.90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2,20,165.92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1,742.98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r>
    </w:tbl>
    <w:p>
      <w:r>
        <w:br w:type="page"/>
      </w:r>
    </w:p>
    <w:p>
      <w:pPr>
        <w:pStyle w:val="sectionHeading"/>
        <w:spacing w:after="300"/>
        <w:jc w:val="center"/>
      </w:pPr>
      <w:r>
        <w:t xml:space="preserve">EXPLANATIONS &amp; CONCLUSION</w:t>
      </w:r>
    </w:p>
    <w:p>
      <w:pPr>
        <w:spacing w:before="200" w:after="100"/>
      </w:pPr>
      <w:r>
        <w:rPr>
          <w:b/>
          <w:bCs/>
          <w:color w:val="FFFFFF"/>
          <w:sz w:val="28"/>
          <w:szCs w:val="28"/>
        </w:rPr>
        <w:t xml:space="preserve">Assumptions</w:t>
      </w:r>
    </w:p>
    <w:p>
      <w:pPr>
        <w:spacing w:after="150"/>
      </w:pPr>
      <w:r>
        <w:t xml:space="preserve">The entire projection is based on the assumption that the sales for 5 years will be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475569" w:color="475569" w:val="solid"/>
          </w:tcPr>
          <w:p>
            <w:pPr>
              <w:pStyle w:val="Default"/>
              <w:jc w:val="center"/>
            </w:pPr>
            <w:r>
              <w:rPr>
                <w:color w:val="FFFFFF"/>
              </w:rPr>
              <w:t xml:space="preserve">31/03/2027</w:t>
            </w:r>
          </w:p>
        </w:tc>
        <w:tc>
          <w:tcPr>
            <w:shd w:fill="475569" w:color="475569" w:val="solid"/>
          </w:tcPr>
          <w:p>
            <w:pPr>
              <w:pStyle w:val="Default"/>
              <w:jc w:val="center"/>
            </w:pPr>
            <w:r>
              <w:rPr>
                <w:color w:val="FFFFFF"/>
              </w:rPr>
              <w:t xml:space="preserve">31/03/2028</w:t>
            </w:r>
          </w:p>
        </w:tc>
        <w:tc>
          <w:tcPr>
            <w:shd w:fill="475569" w:color="475569" w:val="solid"/>
          </w:tcPr>
          <w:p>
            <w:pPr>
              <w:pStyle w:val="Default"/>
              <w:jc w:val="center"/>
            </w:pPr>
            <w:r>
              <w:rPr>
                <w:color w:val="FFFFFF"/>
              </w:rPr>
              <w:t xml:space="preserve">31/03/2029</w:t>
            </w:r>
          </w:p>
        </w:tc>
        <w:tc>
          <w:tcPr>
            <w:shd w:fill="475569" w:color="475569" w:val="solid"/>
          </w:tcPr>
          <w:p>
            <w:pPr>
              <w:pStyle w:val="Default"/>
              <w:jc w:val="center"/>
            </w:pPr>
            <w:r>
              <w:rPr>
                <w:color w:val="FFFFFF"/>
              </w:rPr>
              <w:t xml:space="preserve">31/03/2030</w:t>
            </w:r>
          </w:p>
        </w:tc>
        <w:tc>
          <w:tcPr>
            <w:shd w:fill="475569" w:color="475569" w:val="solid"/>
          </w:tcPr>
          <w:p>
            <w:pPr>
              <w:pStyle w:val="Default"/>
              <w:jc w:val="center"/>
            </w:pPr>
            <w:r>
              <w:rPr>
                <w:color w:val="FFFFFF"/>
              </w:rPr>
              <w:t xml:space="preserve">31/03/2031</w:t>
            </w:r>
          </w:p>
        </w:tc>
      </w:tr>
      <w:tr>
        <w:tc>
          <w:p>
            <w:pPr>
              <w:pStyle w:val="Default"/>
              <w:jc w:val="right"/>
            </w:pPr>
            <w:r>
              <w:t xml:space="preserve">3,90,00,000.00</w:t>
            </w:r>
          </w:p>
        </w:tc>
        <w:tc>
          <w:p>
            <w:pPr>
              <w:pStyle w:val="Default"/>
              <w:jc w:val="right"/>
            </w:pPr>
            <w:r>
              <w:t xml:space="preserve">4,21,20,000.00</w:t>
            </w:r>
          </w:p>
        </w:tc>
        <w:tc>
          <w:p>
            <w:pPr>
              <w:pStyle w:val="Default"/>
              <w:jc w:val="right"/>
            </w:pPr>
            <w:r>
              <w:t xml:space="preserve">4,54,89,600.00</w:t>
            </w:r>
          </w:p>
        </w:tc>
        <w:tc>
          <w:p>
            <w:pPr>
              <w:pStyle w:val="Default"/>
              <w:jc w:val="right"/>
            </w:pPr>
            <w:r>
              <w:t xml:space="preserve">4,91,28,768.00</w:t>
            </w:r>
          </w:p>
        </w:tc>
        <w:tc>
          <w:p>
            <w:pPr>
              <w:pStyle w:val="Default"/>
              <w:jc w:val="right"/>
            </w:pPr>
            <w:r>
              <w:t xml:space="preserve">5,30,59,069.44</w:t>
            </w:r>
          </w:p>
        </w:tc>
      </w:tr>
    </w:tbl>
    <w:p>
      <w:pPr>
        <w:spacing w:before="200" w:after="200"/>
      </w:pPr>
      <w:r>
        <w:rPr>
          <w:b/>
          <w:bCs/>
        </w:rPr>
        <w:t xml:space="preserve">Revenue From Sales: </w:t>
      </w:r>
      <w:r>
        <w:t xml:space="preserve">3,90,00,000.00</w:t>
      </w:r>
    </w:p>
    <w:p>
      <w:pPr>
        <w:spacing w:after="150"/>
      </w:pPr>
      <w:r>
        <w:t xml:space="preserve">Also total revenue &amp; expense for firm during projection years will be as follows: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475569" w:color="475569" w:val="solid"/>
          </w:tcPr>
          <w:p>
            <w:pPr>
              <w:pStyle w:val="Default"/>
              <w:jc w:val="center"/>
            </w:pPr>
            <w:r>
              <w:rPr>
                <w:color w:val="FFFFFF"/>
              </w:rPr>
              <w:t xml:space="preserve">31/03/2027</w:t>
            </w:r>
          </w:p>
        </w:tc>
        <w:tc>
          <w:tcPr>
            <w:shd w:fill="475569" w:color="475569" w:val="solid"/>
          </w:tcPr>
          <w:p>
            <w:pPr>
              <w:pStyle w:val="Default"/>
              <w:jc w:val="center"/>
            </w:pPr>
            <w:r>
              <w:rPr>
                <w:color w:val="FFFFFF"/>
              </w:rPr>
              <w:t xml:space="preserve">31/03/2028</w:t>
            </w:r>
          </w:p>
        </w:tc>
        <w:tc>
          <w:tcPr>
            <w:shd w:fill="475569" w:color="475569" w:val="solid"/>
          </w:tcPr>
          <w:p>
            <w:pPr>
              <w:pStyle w:val="Default"/>
              <w:jc w:val="center"/>
            </w:pPr>
            <w:r>
              <w:rPr>
                <w:color w:val="FFFFFF"/>
              </w:rPr>
              <w:t xml:space="preserve">31/03/2029</w:t>
            </w:r>
          </w:p>
        </w:tc>
        <w:tc>
          <w:tcPr>
            <w:shd w:fill="475569" w:color="475569" w:val="solid"/>
          </w:tcPr>
          <w:p>
            <w:pPr>
              <w:pStyle w:val="Default"/>
              <w:jc w:val="center"/>
            </w:pPr>
            <w:r>
              <w:rPr>
                <w:color w:val="FFFFFF"/>
              </w:rPr>
              <w:t xml:space="preserve">31/03/2030</w:t>
            </w:r>
          </w:p>
        </w:tc>
        <w:tc>
          <w:tcPr>
            <w:shd w:fill="475569" w:color="475569" w:val="solid"/>
          </w:tcPr>
          <w:p>
            <w:pPr>
              <w:pStyle w:val="Default"/>
              <w:jc w:val="center"/>
            </w:pPr>
            <w:r>
              <w:rPr>
                <w:color w:val="FFFFFF"/>
              </w:rPr>
              <w:t xml:space="preserve">31/03/2031</w:t>
            </w:r>
          </w:p>
        </w:tc>
      </w:tr>
      <w:tr>
        <w:tc>
          <w:p>
            <w:pPr>
              <w:pStyle w:val="Default"/>
              <w:jc w:val="right"/>
            </w:pPr>
            <w:r>
              <w:t xml:space="preserve">79,60,503.35</w:t>
            </w:r>
          </w:p>
        </w:tc>
        <w:tc>
          <w:p>
            <w:pPr>
              <w:pStyle w:val="Default"/>
              <w:jc w:val="right"/>
            </w:pPr>
            <w:r>
              <w:t xml:space="preserve">78,89,476.70</w:t>
            </w:r>
          </w:p>
        </w:tc>
        <w:tc>
          <w:p>
            <w:pPr>
              <w:pStyle w:val="Default"/>
              <w:jc w:val="right"/>
            </w:pPr>
            <w:r>
              <w:t xml:space="preserve">78,49,579.29</w:t>
            </w:r>
          </w:p>
        </w:tc>
        <w:tc>
          <w:p>
            <w:pPr>
              <w:pStyle w:val="Default"/>
              <w:jc w:val="right"/>
            </w:pPr>
            <w:r>
              <w:t xml:space="preserve">78,59,104.90</w:t>
            </w:r>
          </w:p>
        </w:tc>
        <w:tc>
          <w:p>
            <w:pPr>
              <w:pStyle w:val="Default"/>
              <w:jc w:val="right"/>
            </w:pPr>
            <w:r>
              <w:t xml:space="preserve">79,13,645.31</w:t>
            </w:r>
          </w:p>
        </w:tc>
      </w:tr>
    </w:tbl>
    <w:p>
      <w:pPr>
        <w:spacing w:before="300" w:after="150"/>
      </w:pPr>
      <w:r>
        <w:rPr>
          <w:b/>
          <w:bCs/>
          <w:color w:val="FFFFFF"/>
          <w:sz w:val="28"/>
          <w:szCs w:val="28"/>
        </w:rPr>
        <w:t xml:space="preserve">Loan Assumptions</w:t>
      </w:r>
    </w:p>
    <w:p>
      <w:pPr>
        <w:pStyle w:val="ListParagraph"/>
        <w:numPr>
          <w:ilvl w:val="0"/>
          <w:numId w:val="1"/>
        </w:numPr>
        <w:spacing w:before="100"/>
      </w:pPr>
      <w:r>
        <w:t xml:space="preserve">Term Loan: Principal 97,20,000.00, Interest 9.5%, Duration 5 years</w:t>
      </w:r>
    </w:p>
    <w:p>
      <w:pPr>
        <w:pStyle w:val="ListParagraph"/>
        <w:numPr>
          <w:ilvl w:val="0"/>
          <w:numId w:val="1"/>
        </w:numPr>
        <w:spacing w:before="100"/>
      </w:pPr>
      <w:r>
        <w:t xml:space="preserve">Working Capital Loan: Principal 21,45,000.00, Interest 10%</w:t>
      </w:r>
    </w:p>
    <w:p>
      <w:pPr>
        <w:spacing w:before="300" w:after="150"/>
      </w:pPr>
      <w:r>
        <w:rPr>
          <w:b/>
          <w:bCs/>
        </w:rPr>
        <w:t xml:space="preserve">The depreciation is as follows:</w:t>
      </w:r>
    </w:p>
    <w:tbl>
      <w:tblPr>
        <w:tblW w:type="pct" w:w="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475569" w:color="475569" w:val="solid"/>
          </w:tcPr>
          <w:p>
            <w:pPr>
              <w:jc w:val="center"/>
            </w:pPr>
            <w:r>
              <w:rPr>
                <w:b/>
                <w:bCs/>
                <w:color w:val="FFFFFF"/>
              </w:rPr>
              <w:t xml:space="preserve">Particulars</w:t>
            </w:r>
          </w:p>
        </w:tc>
        <w:tc>
          <w:tcPr>
            <w:shd w:fill="475569" w:color="475569" w:val="solid"/>
          </w:tcPr>
          <w:p>
            <w:pPr>
              <w:jc w:val="center"/>
            </w:pPr>
            <w:r>
              <w:rPr>
                <w:b/>
                <w:bCs/>
                <w:color w:val="FFFFFF"/>
              </w:rPr>
              <w:t xml:space="preserve">Rate</w:t>
            </w:r>
          </w:p>
        </w:tc>
      </w:tr>
      <w:tr>
        <w:tc>
          <w:p>
            <w:r>
              <w:t xml:space="preserve">Building</w:t>
            </w:r>
          </w:p>
        </w:tc>
        <w:tc>
          <w:p>
            <w:pPr>
              <w:jc w:val="center"/>
            </w:pPr>
            <w:r>
              <w:t xml:space="preserve">10%</w:t>
            </w:r>
          </w:p>
        </w:tc>
      </w:tr>
      <w:tr>
        <w:tc>
          <w:p>
            <w:r>
              <w:t xml:space="preserve">Furniture &amp; Fixtures</w:t>
            </w:r>
          </w:p>
        </w:tc>
        <w:tc>
          <w:p>
            <w:pPr>
              <w:jc w:val="center"/>
            </w:pPr>
            <w:r>
              <w:t xml:space="preserve">10%</w:t>
            </w:r>
          </w:p>
        </w:tc>
      </w:tr>
      <w:tr>
        <w:tc>
          <w:p>
            <w:r>
              <w:t xml:space="preserve">Plant &amp; Machinery</w:t>
            </w:r>
          </w:p>
        </w:tc>
        <w:tc>
          <w:p>
            <w:pPr>
              <w:jc w:val="center"/>
            </w:pPr>
            <w:r>
              <w:t xml:space="preserve">15%</w:t>
            </w:r>
          </w:p>
        </w:tc>
      </w:tr>
      <w:tr>
        <w:tc>
          <w:p>
            <w:r>
              <w:t xml:space="preserve">Vehicles</w:t>
            </w:r>
          </w:p>
        </w:tc>
        <w:tc>
          <w:p>
            <w:pPr>
              <w:jc w:val="center"/>
            </w:pPr>
            <w:r>
              <w:t xml:space="preserve">15%</w:t>
            </w:r>
          </w:p>
        </w:tc>
      </w:tr>
    </w:tbl>
    <w:p>
      <w:pPr>
        <w:pStyle w:val="ListParagraph"/>
        <w:numPr>
          <w:ilvl w:val="0"/>
          <w:numId w:val="1"/>
        </w:numPr>
        <w:spacing w:before="100"/>
      </w:pPr>
      <w:r>
        <w:t xml:space="preserve">Cost of Machinery is based on direct purchase from the market on deepest study</w:t>
      </w:r>
    </w:p>
    <w:p>
      <w:pPr>
        <w:pStyle w:val="ListParagraph"/>
        <w:numPr>
          <w:ilvl w:val="0"/>
          <w:numId w:val="1"/>
        </w:numPr>
        <w:spacing w:before="100"/>
      </w:pPr>
      <w:r>
        <w:t xml:space="preserve">Value of raw materials &amp; utility charges as per the current market conditions</w:t>
      </w:r>
    </w:p>
    <w:p>
      <w:pPr>
        <w:pStyle w:val="ListParagraph"/>
        <w:numPr>
          <w:ilvl w:val="0"/>
          <w:numId w:val="1"/>
        </w:numPr>
        <w:spacing w:before="100"/>
      </w:pPr>
      <w:r>
        <w:t xml:space="preserve">All other assumptions are calculated based on the basis of experience of the promoter and deep study on the working of similar model</w:t>
      </w:r>
    </w:p>
    <w:p>
      <w:pPr>
        <w:spacing w:before="400" w:after="150"/>
      </w:pPr>
      <w:r>
        <w:rPr>
          <w:b/>
          <w:bCs/>
          <w:color w:val="FFFFFF"/>
          <w:sz w:val="28"/>
          <w:szCs w:val="28"/>
        </w:rPr>
        <w:t xml:space="preserve">Conclusion</w:t>
      </w:r>
    </w:p>
    <w:p>
      <w:pPr>
        <w:spacing w:after="120"/>
        <w:jc w:val="both"/>
      </w:pPr>
      <w:r>
        <w:t xml:space="preserve">When we take a close look at the Debt Service Coverage Ratio (DSCR), the avg: DSCR is </w:t>
      </w:r>
      <w:r>
        <w:rPr>
          <w:b/>
          <w:bCs/>
        </w:rPr>
        <w:t xml:space="preserve">2.56 : 1</w:t>
      </w:r>
      <w:r>
        <w:t xml:space="preserve">, which is at a higher proposition and proposes a stable venture.</w:t>
      </w:r>
    </w:p>
    <w:p>
      <w:pPr>
        <w:spacing w:after="120"/>
        <w:jc w:val="both"/>
      </w:pPr>
      <w:r>
        <w:t xml:space="preserve">The Profit and Loss shows a steady growth in profit throughout the year and the firm has a higher Current Ratio (average) of </w:t>
      </w:r>
      <w:r>
        <w:rPr>
          <w:b/>
          <w:bCs/>
        </w:rPr>
        <w:t xml:space="preserve">2.06</w:t>
      </w:r>
      <w:r>
        <w:t xml:space="preserve">, this shows the current assets and current liabilities are managed &amp; balanced well.</w:t>
      </w:r>
    </w:p>
    <w:sectPr>
      <w:footerReference w:type="default" r:id="rId6"/>
      <w:pgSz w:w="11906" w:h="16838" w:orient="portrait"/>
      <w:pgMar w:top="720" w:right="720" w:bottom="720" w:left="720" w:header="708" w:footer="708" w:gutter="0"/>
      <w:pgBorders w:display="allPages" w:offsetFrom="page" w:zOrder="front"/>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documentProtection w:edit="readOnly" w:enforcement="1" w:cryptProviderType="rsaFull" w:hash="1Tiy+Xa1a9R9o1lKk+q6xQ==" w:salt="U1VjTHBvQWZJbGZrZ3Z5aA==" w:cryptAlgorithmType="typeAES" w:cryptAlgorithmSid="14" w:cryptSpinCount="10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2pt"/>
        <w:szCs w:val="12pt"/>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rPr>
      <w:sz w:val="12pt"/>
      <w:szCs w:val="12pt"/>
      <w:rFonts w:ascii="Calibri" w:cs="Calibri" w:eastAsia="Calibri" w:hAnsi="Calibri"/>
    </w:rPr>
  </w:style>
  <w:style w:type="paragraph" w:styleId="Strong">
    <w:name w:val="Strong"/>
    <w:basedOn w:val="Normal"/>
    <w:rPr>
      <w:b/>
      <w:bCs/>
      <w:sz w:val="12pt"/>
      <w:szCs w:val="12pt"/>
      <w:rFonts w:ascii="Calibri" w:cs="Calibri" w:eastAsia="Calibri" w:hAnsi="Calibri"/>
    </w:rPr>
  </w:style>
  <w:style w:type="paragraph" w:styleId="TableHeaderStyle">
    <w:name w:val="Table Header Style"/>
    <w:basedOn w:val="Normal"/>
    <w:rPr>
      <w:b/>
      <w:bCs/>
      <w:sz w:val="10pt"/>
      <w:szCs w:val="10pt"/>
      <w:rFonts w:ascii="Calibri" w:cs="Calibri" w:eastAsia="Calibri" w:hAnsi="Calibri"/>
    </w:rPr>
  </w:style>
  <w:style w:type="paragraph" w:styleId="sectionHeading">
    <w:name w:val="Section Heading"/>
    <w:basedOn w:val="Normal"/>
    <w:pPr>
      <w:spacing w:before="240" w:after="120"/>
    </w:pPr>
    <w:rPr>
      <w:b/>
      <w:bCs/>
      <w:color w:val="475569"/>
      <w:sz w:val="14pt"/>
      <w:szCs w:val="14pt"/>
      <w:rFonts w:ascii="Calibri" w:cs="Calibri" w:eastAsia="Calibri" w:hAnsi="Calibri"/>
    </w:rPr>
  </w:style>
  <w:style w:type="paragraph" w:styleId="docTitle">
    <w:name w:val="Document Title"/>
    <w:basedOn w:val="Normal"/>
    <w:pPr>
      <w:spacing w:before="240" w:after="240"/>
    </w:pPr>
    <w:rPr>
      <w:b/>
      <w:bCs/>
      <w:color w:val="475569"/>
      <w:sz w:val="18pt"/>
      <w:szCs w:val="18pt"/>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yhkqbw-ezc6xugrio6imp.png"/><Relationship Id="rId8" Type="http://schemas.openxmlformats.org/officeDocument/2006/relationships/image" Target="media/tobsgln2gg3w12vzsjxum.png"/><Relationship Id="rId9" Type="http://schemas.openxmlformats.org/officeDocument/2006/relationships/image" Target="media/2lu85c_zlq9j77t5tert3.png"/><Relationship Id="rId10" Type="http://schemas.openxmlformats.org/officeDocument/2006/relationships/image" Target="media/rj8hmnshnjuxumuzbngbs.png"/><Relationship Id="rId11" Type="http://schemas.openxmlformats.org/officeDocument/2006/relationships/image" Target="media/ifaxs4vcfn93cx-yo7v8j.png"/><Relationship Id="rId12" Type="http://schemas.openxmlformats.org/officeDocument/2006/relationships/image" Target="media/6lh8xpbsxeghnadtou66w.png"/><Relationship Id="rId13" Type="http://schemas.openxmlformats.org/officeDocument/2006/relationships/image" Target="media/troecbxvttmmpoxanj7sm.png"/><Relationship Id="rId14" Type="http://schemas.openxmlformats.org/officeDocument/2006/relationships/image" Target="media/s0erodplojlkkm1fns9is.png"/><Relationship Id="rId15" Type="http://schemas.openxmlformats.org/officeDocument/2006/relationships/image" Target="media/azo55ki1q2r-mapffmfgz.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2026-10-10T14:23:34.951Z</dcterms:created>
  <dcterms:modified xsi:type="dcterms:W3CDTF">2026-10-10T14:23:34.951Z</dcterms:modified>
</cp:coreProperties>
</file>

<file path=docProps/custom.xml><?xml version="1.0" encoding="utf-8"?>
<Properties xmlns="http://schemas.openxmlformats.org/officeDocument/2006/custom-properties" xmlns:vt="http://schemas.openxmlformats.org/officeDocument/2006/docPropsVTypes"/>
</file>