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500"/>
      </w:pPr>
    </w:p>
    <w:p>
      <w:pPr>
        <w:spacing w:after="500"/>
        <w:jc w:val="center"/>
      </w:pPr>
      <w:r>
        <w:drawing>
          <wp:inline distT="0" distB="0" distL="0" distR="0">
            <wp:extent cx="4286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86250" cy="2857500"/>
                    </a:xfrm>
                    <a:prstGeom prst="rect">
                      <a:avLst/>
                    </a:prstGeom>
                  </pic:spPr>
                </pic:pic>
              </a:graphicData>
            </a:graphic>
          </wp:inline>
        </w:drawing>
      </w:r>
    </w:p>
    <w:p>
      <w:pPr>
        <w:spacing w:after="1200" w:before="500"/>
        <w:jc w:val="center"/>
      </w:pPr>
      <w:r>
        <w:rPr>
          <w:b/>
          <w:bCs/>
          <w:sz w:val="48"/>
          <w:szCs w:val="48"/>
          <w:rFonts w:ascii="Arial" w:cs="Arial" w:eastAsia="Arial" w:hAnsi="Arial"/>
        </w:rPr>
        <w:t xml:space="preserve">PROJECT REPORT</w:t>
      </w:r>
    </w:p>
    <w:p>
      <w:pPr>
        <w:spacing w:after="1000" w:before="1000"/>
        <w:jc w:val="center"/>
      </w:pPr>
      <w:r>
        <w:rPr>
          <w:sz w:val="36"/>
          <w:szCs w:val="36"/>
          <w:rFonts w:ascii="Arial" w:cs="Arial" w:eastAsia="Arial" w:hAnsi="Arial"/>
        </w:rPr>
        <w:t xml:space="preserve">Of</w:t>
      </w:r>
    </w:p>
    <w:p>
      <w:pPr>
        <w:spacing w:after="300" w:before="0"/>
        <w:jc w:val="center"/>
      </w:pPr>
      <w:r>
        <w:rPr>
          <w:b/>
          <w:bCs/>
          <w:sz w:val="60"/>
          <w:szCs w:val="60"/>
          <w:rFonts w:ascii="Arial" w:cs="Arial" w:eastAsia="Arial" w:hAnsi="Arial"/>
        </w:rPr>
        <w:t xml:space="preserve">FINXORA DIAGNOSTICS LLP</w:t>
      </w:r>
    </w:p>
    <w:p>
      <w:pPr>
        <w:spacing w:before="50" w:after="50"/>
        <w:jc w:val="center"/>
      </w:pPr>
      <w:r>
        <w:rPr>
          <w:sz w:val="24"/>
          <w:szCs w:val="24"/>
          <w:rFonts w:ascii="Arial" w:cs="Arial" w:eastAsia="Arial" w:hAnsi="Arial"/>
        </w:rPr>
        <w:t xml:space="preserve">GST No.: 23AAABF0000A1Z5</w:t>
      </w:r>
    </w:p>
    <w:p>
      <w:pPr>
        <w:spacing w:before="50" w:after="50"/>
        <w:jc w:val="center"/>
      </w:pPr>
      <w:r>
        <w:rPr>
          <w:sz w:val="24"/>
          <w:szCs w:val="24"/>
          <w:rFonts w:ascii="Arial" w:cs="Arial" w:eastAsia="Arial" w:hAnsi="Arial"/>
        </w:rPr>
        <w:t xml:space="preserve">UDYAM No.: UDYAM-MP-00-0000000</w:t>
      </w:r>
    </w:p>
    <w:p>
      <w:pPr>
        <w:spacing w:before="150" w:after="150"/>
        <w:jc w:val="center"/>
      </w:pPr>
      <w:r>
        <w:rPr>
          <w:b/>
          <w:bCs/>
          <w:sz w:val="28"/>
          <w:szCs w:val="28"/>
          <w:rFonts w:ascii="Arial" w:cs="Arial" w:eastAsia="Arial" w:hAnsi="Arial"/>
        </w:rPr>
        <w:t xml:space="preserve">For Term Loan of 1,18,80,000.00 /- and CC of 12,40,000.00 /-</w:t>
      </w:r>
    </w:p>
    <w:p>
      <w:pPr>
        <w:spacing w:after="3300"/>
      </w:pPr>
    </w:p>
    <w:p>
      <w:pPr>
        <w:sectPr>
          <w:pgSz w:w="11906" w:h="16838" w:orient="portrait"/>
          <w:pgMar w:top="720" w:right="720" w:bottom="720" w:left="720" w:header="708" w:footer="708" w:gutter="0"/>
          <w:pgNumType/>
          <w:docGrid w:linePitch="360"/>
        </w:sectPr>
      </w:pPr>
    </w:p>
    <w:p>
      <w:pPr>
        <w:spacing w:after="300" w:before="200"/>
        <w:jc w:val="center"/>
      </w:pPr>
      <w:r>
        <w:rPr>
          <w:b/>
          <w:bCs/>
          <w:color w:val="475569"/>
          <w:sz w:val="18pt"/>
          <w:szCs w:val="18pt"/>
          <w:rFonts w:ascii="Calibri" w:cs="Calibri" w:eastAsia="Calibri" w:hAnsi="Calibri"/>
        </w:rPr>
        <w:t xml:space="preserve">INDEX</w:t>
      </w:r>
    </w:p>
    <w:sdt>
      <w:sdtPr>
        <w:alias w:val="Table of Contents"/>
      </w:sdtPr>
      <w:sdtContent>
        <w:p>
          <w:r>
            <w:fldChar w:fldCharType="begin" w:dirty="true"/>
            <w:instrText xml:space="preserve">TOC \h \t "docTitle,1,sectionHeading,1"</w:instrText>
            <w:fldChar w:fldCharType="separate"/>
          </w:r>
        </w:p>
        <w:p>
          <w:r>
            <w:fldChar w:fldCharType="end"/>
          </w:r>
        </w:p>
      </w:sdtContent>
    </w:sdt>
    <w:p>
      <w:r>
        <w:br w:type="page"/>
      </w:r>
    </w:p>
    <w:p>
      <w:pPr>
        <w:pStyle w:val="docTitle"/>
        <w:spacing w:after="300" w:before="200"/>
        <w:jc w:val="center"/>
      </w:pPr>
      <w:r>
        <w:t xml:space="preserve">COMPANY PROFILE</w:t>
      </w:r>
    </w:p>
    <w:p>
      <w:pPr>
        <w:pStyle w:val="sectionHeading"/>
        <w:spacing w:after="150" w:before="150"/>
        <w:jc w:val="left"/>
      </w:pPr>
      <w:r>
        <w:t xml:space="preserve">I. Company Information</w:t>
      </w:r>
    </w:p>
    <w:tbl>
      <w:tblPr>
        <w:tblW w:type="pct" w:w="85%"/>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Name of the Company/Firm</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FINXORA DIAGNOSTICS LLP</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Partner 1</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Aarav Mehta (Male, General)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Partner 2</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Neha Kapoor (Female, General)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Constitution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llp</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Address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Plot 12, Industrial Area, Indore, Madhya Pradesh 452001</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PAN No.</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AAABF0000A</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Date of Incorporation/Birth</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01-Apr-2026</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Industry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Pathology laboratory service</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Type of Business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service</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Business Starting Date</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01-Apr-2026</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Type of Loan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TERM-LOAN Loan</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Father/Spouse/Guardian Name</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Dev Mehta</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Marital Status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Married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Educational Qualification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Graduate with sector training</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Profession/Occupation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Pathology laboratory service</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Contact Number</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0000000000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Email</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sample@finxora.com</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Aadhaar No.</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0000 0000 0000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Business description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Pathology laboratory service serving institutional and retail customers in Indore and neighbouring districts of Madhya Pradesh. Operations combine documented customer orders, supplier evaluation, quality checks and regular collection follow-up. Management reviews stock, receivables and cash flow monthly to maintain service standards and timely debt repayment.</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Incorporation / establishment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01-Apr-2026</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Bank and branch</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 Indore Main Branch</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Proposed facilities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Cash credit Rs. 12.4 lakh and term loan Rs. 118.8 lakh</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Ownership / management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Aarav Mehta: 50% (designated partner); Neha Kapoor: 50% (designated partner)</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Market and operations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Diversified local customers; documented orders; monthly stock and debtor review.</w:t>
            </w:r>
          </w:p>
        </w:tc>
      </w:tr>
    </w:tbl>
    <w:p>
      <w:pPr>
        <w:spacing w:after="150"/>
      </w:pPr>
    </w:p>
    <w:p>
      <w:pPr>
        <w:pStyle w:val="sectionHeading"/>
        <w:spacing w:after="150" w:before="150"/>
        <w:jc w:val="left"/>
      </w:pPr>
      <w:r>
        <w:t xml:space="preserve">II. Project &amp; Financial Overview</w:t>
      </w:r>
    </w:p>
    <w:tbl>
      <w:tblPr>
        <w:tblW w:type="pct" w:w="85%"/>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Report Period</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2026 - 2030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Currency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Amount In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Actual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Total Project Cost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2,32,40,000.00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Bank</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1,18,80,000.00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Duration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5 years</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Interest Rate (%)</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9.5%</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Installment (monthly)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2,71,221.99</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Repayment Frequency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Monthly</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WC (CC/OD) Bank</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Working Capital Loan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12,40,000.00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WC Loan Interest Rate (%)</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10%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Own Contribution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1,01,20,000.00</w:t>
            </w:r>
          </w:p>
        </w:tc>
      </w:tr>
    </w:tbl>
    <w:p>
      <w:pPr>
        <w:spacing w:after="200"/>
      </w:pPr>
    </w:p>
    <w:p>
      <w:pPr>
        <w:pStyle w:val="sectionHeading"/>
        <w:spacing w:before="200" w:after="100"/>
      </w:pPr>
      <w:r>
        <w:t xml:space="preserve">III. Financial Indicators</w:t>
      </w:r>
    </w:p>
    <w:tbl>
      <w:tblPr>
        <w:tblW w:type="pct" w:w="85%"/>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single" w:color="000000" w:sz="1"/>
              <w:left w:val="single" w:color="000000" w:sz="1"/>
              <w:bottom w:val="single" w:color="000000" w:sz="1"/>
              <w:right w:val="single" w:color="000000" w:sz="1"/>
            </w:tcBorders>
            <w:shd w:fill="475569" w:color="475569" w:val="solid"/>
          </w:tcPr>
          <w:p>
            <w:r>
              <w:rPr>
                <w:b/>
                <w:bCs/>
                <w:color w:val="FFFFFF"/>
              </w:rPr>
              <w:t xml:space="preserve">Particulars</w:t>
            </w:r>
          </w:p>
        </w:tc>
        <w:tc>
          <w:tcPr>
            <w:tcW w:type="pct" w:w="50%"/>
            <w:tcBorders>
              <w:top w:val="single" w:color="000000" w:sz="1"/>
              <w:left w:val="single" w:color="000000" w:sz="1"/>
              <w:bottom w:val="single" w:color="000000" w:sz="1"/>
              <w:right w:val="single" w:color="000000" w:sz="1"/>
            </w:tcBorders>
            <w:shd w:fill="475569" w:color="475569" w:val="solid"/>
          </w:tcPr>
          <w:p>
            <w:pPr>
              <w:jc w:val="right"/>
            </w:pPr>
            <w:r>
              <w:rPr>
                <w:b/>
                <w:bCs/>
                <w:color w:val="FFFFFF"/>
              </w:rPr>
              <w:t xml:space="preserve">Value</w:t>
            </w:r>
          </w:p>
        </w:tc>
      </w:tr>
      <w:tr>
        <w:tc>
          <w:tcPr>
            <w:tcBorders>
              <w:top w:val="single" w:color="000000" w:sz="1"/>
              <w:left w:val="single" w:color="000000" w:sz="1"/>
              <w:bottom w:val="single" w:color="000000" w:sz="1"/>
              <w:right w:val="single" w:color="000000" w:sz="1"/>
            </w:tcBorders>
          </w:tcPr>
          <w:p>
            <w:r>
              <w:t xml:space="preserve">Average DSCR</w:t>
            </w:r>
          </w:p>
        </w:tc>
        <w:tc>
          <w:tcPr>
            <w:tcBorders>
              <w:top w:val="single" w:color="000000" w:sz="1"/>
              <w:left w:val="single" w:color="000000" w:sz="1"/>
              <w:bottom w:val="single" w:color="000000" w:sz="1"/>
              <w:right w:val="single" w:color="000000" w:sz="1"/>
            </w:tcBorders>
          </w:tcPr>
          <w:p>
            <w:pPr>
              <w:jc w:val="right"/>
            </w:pPr>
            <w:r>
              <w:t xml:space="preserve">2.90</w:t>
            </w:r>
          </w:p>
        </w:tc>
      </w:tr>
      <w:tr>
        <w:tc>
          <w:tcPr>
            <w:tcBorders>
              <w:top w:val="single" w:color="000000" w:sz="1"/>
              <w:left w:val="single" w:color="000000" w:sz="1"/>
              <w:bottom w:val="single" w:color="000000" w:sz="1"/>
              <w:right w:val="single" w:color="000000" w:sz="1"/>
            </w:tcBorders>
          </w:tcPr>
          <w:p>
            <w:r>
              <w:t xml:space="preserve">Average Current Ratio</w:t>
            </w:r>
          </w:p>
        </w:tc>
        <w:tc>
          <w:tcPr>
            <w:tcBorders>
              <w:top w:val="single" w:color="000000" w:sz="1"/>
              <w:left w:val="single" w:color="000000" w:sz="1"/>
              <w:bottom w:val="single" w:color="000000" w:sz="1"/>
              <w:right w:val="single" w:color="000000" w:sz="1"/>
            </w:tcBorders>
          </w:tcPr>
          <w:p>
            <w:pPr>
              <w:jc w:val="right"/>
            </w:pPr>
            <w:r>
              <w:t xml:space="preserve">2.29</w:t>
            </w:r>
          </w:p>
        </w:tc>
      </w:tr>
      <w:tr>
        <w:tc>
          <w:tcPr>
            <w:tcBorders>
              <w:top w:val="single" w:color="000000" w:sz="1"/>
              <w:left w:val="single" w:color="000000" w:sz="1"/>
              <w:bottom w:val="single" w:color="000000" w:sz="1"/>
              <w:right w:val="single" w:color="000000" w:sz="1"/>
            </w:tcBorders>
          </w:tcPr>
          <w:p>
            <w:r>
              <w:t xml:space="preserve">Debt-Equity Ratio (Year 1)</w:t>
            </w:r>
          </w:p>
        </w:tc>
        <w:tc>
          <w:tcPr>
            <w:tcBorders>
              <w:top w:val="single" w:color="000000" w:sz="1"/>
              <w:left w:val="single" w:color="000000" w:sz="1"/>
              <w:bottom w:val="single" w:color="000000" w:sz="1"/>
              <w:right w:val="single" w:color="000000" w:sz="1"/>
            </w:tcBorders>
          </w:tcPr>
          <w:p>
            <w:pPr>
              <w:jc w:val="right"/>
            </w:pPr>
            <w:r>
              <w:t xml:space="preserve">0.77</w:t>
            </w:r>
          </w:p>
        </w:tc>
      </w:tr>
      <w:tr>
        <w:tc>
          <w:tcPr>
            <w:tcBorders>
              <w:top w:val="single" w:color="000000" w:sz="1"/>
              <w:left w:val="single" w:color="000000" w:sz="1"/>
              <w:bottom w:val="single" w:color="000000" w:sz="1"/>
              <w:right w:val="single" w:color="000000" w:sz="1"/>
            </w:tcBorders>
          </w:tcPr>
          <w:p>
            <w:r>
              <w:t xml:space="preserve">Break-Even Point % (Year 1)</w:t>
            </w:r>
          </w:p>
        </w:tc>
        <w:tc>
          <w:tcPr>
            <w:tcBorders>
              <w:top w:val="single" w:color="000000" w:sz="1"/>
              <w:left w:val="single" w:color="000000" w:sz="1"/>
              <w:bottom w:val="single" w:color="000000" w:sz="1"/>
              <w:right w:val="single" w:color="000000" w:sz="1"/>
            </w:tcBorders>
          </w:tcPr>
          <w:p>
            <w:pPr>
              <w:jc w:val="right"/>
            </w:pPr>
            <w:r>
              <w:t xml:space="preserve">55.35%</w:t>
            </w:r>
          </w:p>
        </w:tc>
      </w:tr>
    </w:tbl>
    <w:p>
      <w:pPr>
        <w:spacing w:after="200"/>
      </w:pPr>
    </w:p>
    <w:p>
      <w:r>
        <w:br w:type="page"/>
      </w:r>
    </w:p>
    <w:p>
      <w:pPr>
        <w:pStyle w:val="sectionHeading"/>
        <w:spacing w:after="200"/>
        <w:jc w:val="center"/>
      </w:pPr>
      <w:r>
        <w:t xml:space="preserve">Ratio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Liquidity Ratios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Current Ratio</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3.88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Quick Ratio (Acid Test)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3.73</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Profitability Ratios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Gross Profit Ratio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43.70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Net Profit Ratio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15.18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17.59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18.12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EBDIT Margin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Return on Capital Employed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19.36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22.83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25.84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27.71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25.67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Return on Equity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32.45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31.51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30.14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25.91</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Leverage Ratios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Debt-Equity Ratio</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0.77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0.46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Debt to Total Assets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35.97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25.41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14.82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Interest Coverage Ratio (Times)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8.04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19.12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42.14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Debt Service Coverage Ratio (DSCR)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Solvency Ratios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Proprietary Ratio</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0.47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0.56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0.65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0.74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0.82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Solvency Ratio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2.49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TOL / TNW Ratio</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0.80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0.54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0.36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0.22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Fixed Asset Coverage Ratio</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49.87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44.42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Debt / EBITDA (x)</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0.69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0.40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0.12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0.11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Contribution Ratio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43.55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43.55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43.55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43.55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43.55</w:t>
            </w:r>
          </w:p>
        </w:tc>
      </w:tr>
    </w:tbl>
    <w:p>
      <w:pPr>
        <w:spacing w:after="4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none"/>
              <w:left w:val="none"/>
              <w:bottom w:val="none"/>
              <w:right w:val="none"/>
            </w:tcBorders>
            <w:vAlign w:val="top"/>
          </w:tcPr>
          <w:p>
            <w:pPr>
              <w:pStyle w:val="Heading4"/>
              <w:spacing w:before="200" w:after="100"/>
              <w:jc w:val="center"/>
            </w:pPr>
            <w:r>
              <w:t xml:space="preserve">Liquidity Ratios</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Liquidity ratios monitor the firm's ability to settle short-term liabilities. The Current Ratio, starting at 1.35:1 and reaching 3.88:1 by the final year, indicates a healthy buffer of current assets. The Quick Ratio follows a similar positive trend, ensuring that the firm can meet its obligations even without relying on inventory liquidation.</w:t>
            </w:r>
          </w:p>
        </w:tc>
        <w:tc>
          <w:tcPr>
            <w:tcW w:type="pct" w:w="50%"/>
            <w:tcBorders>
              <w:top w:val="none"/>
              <w:left w:val="none"/>
              <w:bottom w:val="none"/>
              <w:right w:val="none"/>
            </w:tcBorders>
            <w:vAlign w:val="top"/>
          </w:tcPr>
          <w:p>
            <w:pPr>
              <w:pStyle w:val="Heading4"/>
              <w:spacing w:before="200" w:after="100"/>
              <w:jc w:val="center"/>
            </w:pPr>
            <w:r>
              <w:t xml:space="preserve">Profitability Ratios</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Profitability ratios reflect the operational efficiency of the project. The Gross Profit margin begins at 43.70%, while the Net Profit margin starts at 13.42%. The consistency or growth in these margins over the years demonstrates the firm's capability to manage costs and generate returns for the stakeholders.</w:t>
            </w:r>
          </w:p>
        </w:tc>
      </w:tr>
      <w:tr>
        <w:tc>
          <w:tcPr>
            <w:tcW w:type="pct" w:w="50%"/>
            <w:tcBorders>
              <w:top w:val="none"/>
              <w:left w:val="none"/>
              <w:bottom w:val="none"/>
              <w:right w:val="none"/>
            </w:tcBorders>
            <w:vAlign w:val="top"/>
          </w:tcPr>
          <w:p>
            <w:pPr>
              <w:pStyle w:val="Heading4"/>
              <w:spacing w:before="200" w:after="100"/>
              <w:jc w:val="center"/>
            </w:pPr>
            <w:r>
              <w:t xml:space="preserve">Solvency Ratios</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Solvency ratios provide a long-term perspective on the firm's health. They indicate the project's ability to sustain operations and meet long-term commitments, ensuring viability beyond the initial projection period.</w:t>
            </w:r>
          </w:p>
        </w:tc>
        <w:tc>
          <w:tcPr>
            <w:tcW w:type="pct" w:w="50%"/>
            <w:tcBorders>
              <w:top w:val="none"/>
              <w:left w:val="none"/>
              <w:bottom w:val="none"/>
              <w:right w:val="none"/>
            </w:tcBorders>
            <w:vAlign w:val="top"/>
          </w:tcPr>
          <w:p>
            <w:pPr>
              <w:pStyle w:val="Heading4"/>
              <w:spacing w:before="200" w:after="100"/>
              <w:jc w:val="center"/>
            </w:pPr>
            <w:r>
              <w:t xml:space="preserve">Leverage Ratios</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Leverage ratios evaluate the project's capital structure and dependence on debt. The Debt-Equity ratio of 0.77:1 in the initial year shows the balance between borrowed funds and owner's equity. A stable or decreasing ratio over time typically indicates a lower risk profile and greater financial independence.</w:t>
            </w:r>
          </w:p>
        </w:tc>
      </w:tr>
      <w:tr>
        <w:tc>
          <w:tcPr>
            <w:tcW w:type="pct" w:w="50%"/>
            <w:tcBorders>
              <w:top w:val="none"/>
              <w:left w:val="none"/>
              <w:bottom w:val="none"/>
              <w:right w:val="none"/>
            </w:tcBorders>
            <w:vAlign w:val="top"/>
          </w:tcPr>
          <w:p>
            <w:pPr>
              <w:pStyle w:val="Heading4"/>
              <w:spacing w:before="200" w:after="100"/>
              <w:jc w:val="center"/>
            </w:pPr>
            <w:r>
              <w:t xml:space="preserve">Working Capital Turnover</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Efficiency ratios (Turnover Ratios) indicate how effectively the firm is utilizing its assets. High turnover figures suggest optimal inventory management and efficient use of working capital, resulting in better overall productivity.</w:t>
            </w:r>
          </w:p>
        </w:tc>
        <w:tc>
          <w:tcPr>
            <w:tcW w:type="pct" w:w="50%"/>
            <w:tcBorders>
              <w:top w:val="none"/>
              <w:left w:val="none"/>
              <w:bottom w:val="none"/>
              <w:right w:val="none"/>
            </w:tcBorders>
            <w:vAlign w:val="top"/>
          </w:tcPr>
          <w:p>
            <w:pPr>
              <w:pStyle w:val="Heading4"/>
              <w:spacing w:before="200" w:after="100"/>
              <w:jc w:val="center"/>
            </w:pPr>
            <w:r>
              <w:t xml:space="preserve">Efficiency Ratios</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Efficiency ratios (Turnover Ratios) indicate how effectively the firm is utilizing its assets. High turnover figures suggest optimal inventory management and efficient use of working capital, resulting in better overall productivity.</w:t>
            </w:r>
          </w:p>
        </w:tc>
      </w:tr>
    </w:tbl>
    <w:p>
      <w:r>
        <w:br w:type="page"/>
      </w:r>
    </w:p>
    <w:p>
      <w:pPr>
        <w:pStyle w:val="sectionHeading"/>
        <w:spacing w:after="200"/>
        <w:jc w:val="center"/>
      </w:pPr>
      <w:r>
        <w:t xml:space="preserve">DSCR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Receipts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a).Net Profit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41,61,479.86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50,82,030.98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60,45,271.91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68,70,620.41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76,40,164.18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22,77,000.00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19,65,150.00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16,97,107.51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14,66,598.37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c).Interest on termloan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11,07,337.42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9,25,927.08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6,94,805.58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4,40,745.84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1,61,471.27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79,08,817.28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82,84,958.06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87,05,227.49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90,08,473.76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92,68,233.82</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Repayments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a).Loan Principal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10,84,294.49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23,10,445.71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25,39,751.87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27,91,816.11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30,68,897.11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b).Interest on termloan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11,07,337.42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9,25,927.08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6,94,805.58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4,40,745.84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1,61,471.27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21,91,631.91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32,36,372.79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32,34,557.45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32,32,561.95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32,30,368.38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DSCR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Average 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2.90</w:t>
            </w:r>
          </w:p>
        </w:tc>
      </w:tr>
    </w:tbl>
    <w:p>
      <w:pPr>
        <w:spacing w:after="4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none"/>
              <w:left w:val="none"/>
              <w:bottom w:val="none"/>
              <w:right w:val="none"/>
            </w:tcBorders>
            <w:vAlign w:val="top"/>
          </w:tcPr>
          <w:p>
            <w:pPr>
              <w:pStyle w:val="Heading4"/>
              <w:spacing w:before="200" w:after="100"/>
              <w:jc w:val="center"/>
            </w:pPr>
            <w:r>
              <w:t xml:space="preserve">Dscr</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The Debt Service Coverage Ratio (DSCR) is a primary indicator of debt-repayment capacity. With an average DSCR of 2.90 over the 5-year period, the project demonstrates a strong ability to generate sufficient cash flows to meet both interest and principal obligations comfortably.</w:t>
            </w:r>
          </w:p>
        </w:tc>
        <w:tc>
          <w:tcPr>
            <w:tcW w:type="pct" w:w="50%"/>
            <w:tcBorders>
              <w:top w:val="none"/>
              <w:left w:val="none"/>
              <w:bottom w:val="none"/>
              <w:right w:val="none"/>
            </w:tcBorders>
            <w:vAlign w:val="top"/>
          </w:tcPr>
          <w:p>
            <w:pPr>
              <w:pStyle w:val="Heading4"/>
              <w:spacing w:before="200" w:after="100"/>
              <w:jc w:val="center"/>
            </w:pPr>
            <w:r>
              <w:t xml:space="preserve">Balance Sheet Strength</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The Balance Sheet Strength chart illustrates the growth of Total Assets and Tangible Net Worth (TNW) over the projection period. In FY 2026-27, Total Assets are projected at 2,75,47,900.52 alongside a Tangible Net Worth of 1,28,24,961.91. By FY 2030-31, these are expected to reach 3,59,40,352.84 and 2,94,89,718.78 respectively. This trend signifies a strengthening financial position and increasing equity cushion for the firm.</w:t>
            </w:r>
          </w:p>
        </w:tc>
      </w:tr>
    </w:tbl>
    <w:p>
      <w:r>
        <w:br w:type="page"/>
      </w:r>
    </w:p>
    <w:p>
      <w:pPr>
        <w:pStyle w:val="sectionHeading"/>
        <w:spacing w:after="200"/>
        <w:jc w:val="center"/>
      </w:pPr>
      <w:r>
        <w:t xml:space="preserve">Turnover Method of Lending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 Turnover (Net Sales)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3,34,80,000.00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3,61,58,400.00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3,90,51,072.00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4,21,75,157.76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 25.00% of (A)</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77,50,000.00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83,70,000.00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90,39,600.00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97,62,768.00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1,05,43,789.44</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C. Margin Required at 5.00% of (A)</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15,50,000.00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16,74,000.00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18,07,920.00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19,52,553.60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21,08,757.89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 Margin (NWC)</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21,34,518.67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51,75,086.94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82,77,847.57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1,13,71,961.23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1,78,04,666.30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E. (B - C)</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62,00,000.00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66,96,000.00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72,31,680.00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78,10,214.40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84,35,031.55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 (B - D)</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56,15,481.33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31,94,913.06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7,61,752.43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-16,09,193.23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-72,60,876.86</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G. Permissible Bank Finance under Turnover Method (B - C)</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62,00,000.00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66,96,000.00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72,31,680.00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78,10,214.40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84,35,031.55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H. Proposed / Existing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I. Drawing Power</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15,73,776.18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14,33,193.67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12,95,401.96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9,95,942.18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6,04,779.72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J. Excess Borrowing over Turnover Method Finance</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bl>
    <w:p>
      <w:pPr>
        <w:spacing w:after="400"/>
      </w:pPr>
    </w:p>
    <w:p>
      <w:r>
        <w:br w:type="page"/>
      </w:r>
    </w:p>
    <w:p>
      <w:pPr>
        <w:pStyle w:val="sectionHeading"/>
        <w:spacing w:after="200"/>
        <w:jc w:val="center"/>
      </w:pPr>
      <w:r>
        <w:t xml:space="preserve">Maximum Permissible Bank Finance (MPBF)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FIRST METHOD OF LENDING</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Total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81,87,900.52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1,19,24,494.46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1,57,69,338.98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1,98,20,399.60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2,39,86,208.70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Other Current Liabilities (Other than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48,13,381.85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55,09,407.52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62,51,491.41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72,08,438.37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49,41,542.40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3. Working Capital Gap</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33,74,518.67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64,15,086.94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95,17,847.57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1,26,11,961.23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1,90,44,666.30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Min stipulated Net Working Capital (25% of Working Capital Gap)</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8,43,629.67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16,03,771.74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23,79,461.89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31,52,990.31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47,61,166.57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Actual / Projected Net Working Capital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21,34,518.67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51,75,086.94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82,77,847.57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1,13,71,961.23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1,78,04,666.30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 Item 3 minus item 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25,30,889.00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48,11,315.21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71,38,385.68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94,58,970.92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1,42,83,499.72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 Item 3 minus item 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8. Maximum Permissible Bank Finance (lower of 6 or 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12,40,000.00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9. Excess Borrowing Representing shortfall in NWC</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SECOND METHOD OF LENDING</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Total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81,87,900.52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1,19,24,494.46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1,57,69,338.98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1,98,20,399.60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2,39,86,208.70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Other Current Liabilities (Other than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48,13,381.85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55,09,407.52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62,51,491.41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72,08,438.37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49,41,542.40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3. Working Capital Gap</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33,74,518.67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64,15,086.94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95,17,847.57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1,26,11,961.23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1,90,44,666.30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Min stipulated Net Working Capital (25% of Total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20,46,975.13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29,81,123.62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39,42,334.75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49,55,099.90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59,96,552.17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Actual / Projected Net Working Capital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21,34,518.67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51,75,086.94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82,77,847.57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1,13,71,961.23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1,78,04,666.30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 Item 3 minus item 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13,27,543.54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34,33,963.33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55,75,512.83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76,56,861.33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1,30,48,114.12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 Item 3 minus item 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8. Maximum Permissible Bank Finance (lower of 6 or 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12,40,000.00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9. Excess Borrowing Representing shortfall in NWC</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bl>
    <w:p>
      <w:pPr>
        <w:spacing w:after="400"/>
      </w:pPr>
    </w:p>
    <w:p>
      <w:r>
        <w:br w:type="page"/>
      </w:r>
    </w:p>
    <w:p>
      <w:pPr>
        <w:pStyle w:val="sectionHeading"/>
        <w:spacing w:after="200" w:before="400"/>
        <w:jc w:val="center"/>
      </w:pPr>
      <w:r>
        <w:t xml:space="preserve">Executive Summary</w:t>
      </w:r>
    </w:p>
    <w:p>
      <w:pPr>
        <w:pStyle w:val="Default"/>
        <w:spacing w:after="120"/>
        <w:jc w:val="both"/>
      </w:pPr>
      <w:r>
        <w:t xml:space="preserve">FINXORA DIAGNOSTICS LLP proposes to establish a pathology laboratory service business in Indore, Madhya Pradesh. Commercial commencement is planned for 1 April 2026, with the investment and funding structure set out in the project schedules. The laboratory will provide routine pathology panels and specialised diagnostic panels. The revenue plan allocates 60% of sales to routine panels at Rs. 500 per test and 40% to specialised panels at Rs. 1,200 per test. Reagents and approved outsourced work are linked to these service lines, allowing management to monitor contribution by panel rather than rely only on aggregate billings.</w:t>
      </w:r>
    </w:p>
    <w:p>
      <w:pPr>
        <w:pStyle w:val="Default"/>
        <w:spacing w:after="120"/>
        <w:jc w:val="both"/>
      </w:pPr>
      <w:r>
        <w:t xml:space="preserve">Demand for accessible local diagnostics supports a laboratory offering dependable turnaround and traceable results. Clinics and employers may provide recurring work, while walk-in patients diversify collections. Management will build referral relationships around quality and service consistency, with specialised panels introduced only where equipment capability and expected throughput justify the reagent and quality-control costs.</w:t>
      </w:r>
    </w:p>
    <w:p>
      <w:pPr>
        <w:pStyle w:val="Default"/>
        <w:spacing w:after="120"/>
        <w:jc w:val="both"/>
      </w:pPr>
      <w:r>
        <w:t xml:space="preserve">The funding schedule provides a total outlay of Rs. 232.40 lakh, promoter contribution of Rs. 101.20 lakh, term finance of Rs. 118.80 lakh and cash credit of Rs. 12.40 lakh. The term facility is modelled at 9.5% over five years with a six-month moratorium; working-capital interest is modelled at 10%. Security documentation and final repayment terms remain subject to the bank's appraisal and sanction. For the first reporting year, FY 2026-27, the computed schedules show sales of Rs. 310.00 lakh and net profit of Rs. 41.61 lakh. The first-year current ratio is 1.70 times and the arithmetic average of the annual DSCR values in the repayment schedule is 2.90 times. Final-year sales are Rs. 421.75 lakh with net profit of Rs. 76.40 lakh; these highlights reproduce the report's calculations rather than a separate earnings estimate.</w:t>
      </w:r>
    </w:p>
    <w:p>
      <w:pPr>
        <w:spacing w:after="200"/>
      </w:pPr>
    </w:p>
    <w:p>
      <w:pPr>
        <w:pStyle w:val="sectionHeading"/>
        <w:spacing w:after="200" w:before="400"/>
        <w:jc w:val="center"/>
      </w:pPr>
      <w:r>
        <w:t xml:space="preserve">Company Background</w:t>
      </w:r>
    </w:p>
    <w:p>
      <w:pPr>
        <w:pStyle w:val="Default"/>
        <w:spacing w:after="120"/>
        <w:jc w:val="both"/>
      </w:pPr>
      <w:r>
        <w:t xml:space="preserve">Aarav Mehta brings twelve years of diagnostic laboratory operations and sample-processing experience. Neha Kapoor has ten years of healthcare administration and financial management experience. The designated partners contribute equally and will appoint a suitably qualified laboratory head for technical supervision; clinical authorisation and quality oversight remain with appropriately qualified professionals.</w:t>
      </w:r>
    </w:p>
    <w:p>
      <w:pPr>
        <w:pStyle w:val="Default"/>
        <w:spacing w:after="120"/>
        <w:jc w:val="both"/>
      </w:pPr>
      <w:r>
        <w:t xml:space="preserve">The staffing plan includes eight laboratory and collection personnel, three reception and billing staff and two administrative staff, with professional technical supervision. Equipment installation, calibration, staff training and applicable registrations are to precede commencement on 1 April 2026. Biomedical-waste arrangements and backup power must be in place before patient samples are accepted. Responsibilities should be supported by written authority limits for purchases, customer credit and payments. Bank reconciliations and statutory compliance are to be reviewed monthly, and changes in key personnel should be accompanied by a documented handover.</w:t>
      </w:r>
    </w:p>
    <w:p>
      <w:pPr>
        <w:pStyle w:val="Default"/>
        <w:spacing w:after="120"/>
        <w:jc w:val="both"/>
      </w:pPr>
      <w:r>
        <w:t xml:space="preserve">Daily internal controls, calibration records and external proficiency review are central to reliable results. Samples failing identification or collection requirements are rejected through a documented procedure. Report access is restricted to authorised staff, and corrected results retain an audit trail; maintenance and reagent storage conditions are reviewed with the laboratory head. The reporting plan calls for consistent accounting policies, periodic physical verification and management review of exceptions. Forecast growth is an operating target and should be measured against demonstrated execution rather than treated as an assured result.</w:t>
      </w:r>
    </w:p>
    <w:p>
      <w:pPr>
        <w:spacing w:after="200"/>
      </w:pPr>
    </w:p>
    <w:p>
      <w:pPr>
        <w:pStyle w:val="sectionHeading"/>
        <w:spacing w:after="200" w:before="400"/>
        <w:jc w:val="center"/>
      </w:pPr>
      <w:r>
        <w:t xml:space="preserve">Project Scope and Implementation</w:t>
      </w:r>
    </w:p>
    <w:p>
      <w:pPr>
        <w:pStyle w:val="Default"/>
        <w:spacing w:after="120"/>
        <w:jc w:val="both"/>
      </w:pPr>
      <w:r>
        <w:t xml:space="preserve">The premises at Plot 12, Industrial Area, Indore are planned with separate reception, sample collection, processing and controlled storage areas. Equipment and collection staffing are designed for up to 250 routine-equivalent tests per working day, allowing headroom over the initial volume plan. Sample identification, transport conditions and turnaround times are logged from receipt to authorised report release.</w:t>
      </w:r>
    </w:p>
    <w:p>
      <w:pPr>
        <w:pStyle w:val="Default"/>
        <w:spacing w:after="120"/>
        <w:jc w:val="both"/>
      </w:pPr>
      <w:r>
        <w:t xml:space="preserve">The staffing plan includes eight laboratory and collection personnel, three reception and billing staff and two administrative staff, with professional technical supervision. Equipment installation, calibration, staff training and applicable registrations are to precede commencement on 1 April 2026. Biomedical-waste arrangements and backup power must be in place before patient samples are accepted.</w:t>
      </w:r>
    </w:p>
    <w:p>
      <w:pPr>
        <w:pStyle w:val="Default"/>
        <w:spacing w:after="120"/>
        <w:jc w:val="both"/>
      </w:pPr>
      <w:r>
        <w:t xml:space="preserve">Implementation should proceed through premises readiness, equipment procurement, installation, trial operation and controlled commercial launch. Supplier specifications and service support should be checked before placing orders. Promoter margin is to be introduced in step with disbursement; the bank should verify end use against invoices and the agreed project budget. Any commissioning delay requires a revised sales ramp and repayment forecast before full utilisation of the facilities.</w:t>
      </w:r>
    </w:p>
    <w:p>
      <w:pPr>
        <w:spacing w:after="200"/>
      </w:pPr>
    </w:p>
    <w:p>
      <w:pPr>
        <w:pStyle w:val="sectionHeading"/>
        <w:spacing w:after="200" w:before="400"/>
        <w:jc w:val="center"/>
      </w:pPr>
      <w:r>
        <w:t xml:space="preserve">Operational Plan</w:t>
      </w:r>
    </w:p>
    <w:p>
      <w:pPr>
        <w:pStyle w:val="Default"/>
        <w:spacing w:after="120"/>
        <w:jc w:val="both"/>
      </w:pPr>
      <w:r>
        <w:t xml:space="preserve">The premises at Plot 12, Industrial Area, Indore are planned with separate reception, sample collection, processing and controlled storage areas. Equipment and collection staffing are designed for up to 250 routine-equivalent tests per working day, allowing headroom over the initial volume plan. Sample identification, transport conditions and turnaround times are logged from receipt to authorised report release.</w:t>
      </w:r>
    </w:p>
    <w:p>
      <w:pPr>
        <w:pStyle w:val="Default"/>
        <w:spacing w:after="120"/>
        <w:jc w:val="both"/>
      </w:pPr>
      <w:r>
        <w:t xml:space="preserve">The staffing plan includes eight laboratory and collection personnel, three reception and billing staff and two administrative staff, with professional technical supervision. Equipment installation, calibration, staff training and applicable registrations are to precede commencement on 1 April 2026. Biomedical-waste arrangements and backup power must be in place before patient samples are accepted.</w:t>
      </w:r>
    </w:p>
    <w:p>
      <w:pPr>
        <w:pStyle w:val="Default"/>
        <w:spacing w:after="120"/>
        <w:jc w:val="both"/>
      </w:pPr>
      <w:r>
        <w:t xml:space="preserve">The laboratory will provide routine pathology panels and specialised diagnostic panels. The revenue plan allocates 60% of sales to routine panels at Rs. 500 per test and 40% to specialised panels at Rs. 1,200 per test. Reagents and approved outsourced work are linked to these service lines, allowing management to monitor contribution by panel rather than rely only on aggregate billings. Monthly management review should compare orders, realised prices, direct costs and collections with the financial schedules. Stock and debtor statements must reconcile with the books before submission to the bank. Any adverse movement in margin or overdue accounts should lead to a revised cash-flow forecast and corrective action before additional credit commitments are accepted.</w:t>
      </w:r>
    </w:p>
    <w:p>
      <w:pPr>
        <w:spacing w:after="200"/>
      </w:pPr>
    </w:p>
    <w:p>
      <w:pPr>
        <w:pStyle w:val="sectionHeading"/>
        <w:spacing w:after="200" w:before="400"/>
        <w:jc w:val="center"/>
      </w:pPr>
      <w:r>
        <w:t xml:space="preserve">Market Analysis and Opportunity</w:t>
      </w:r>
    </w:p>
    <w:p>
      <w:pPr>
        <w:pStyle w:val="Default"/>
        <w:spacing w:after="120"/>
        <w:jc w:val="both"/>
      </w:pPr>
      <w:r>
        <w:t xml:space="preserve">The proposed customer groups include local patients, medical practitioners, clinics and employers arranging health checks. Referrals are developed through service reliability and transparent reporting timelines, with patient consent and privacy incorporated into the collection process. Corporate accounts are assessed for credit terms separately from patients who ordinarily settle at the time of service.</w:t>
      </w:r>
    </w:p>
    <w:p>
      <w:pPr>
        <w:pStyle w:val="Default"/>
        <w:spacing w:after="120"/>
        <w:jc w:val="both"/>
      </w:pPr>
      <w:r>
        <w:t xml:space="preserve">Demand for accessible local diagnostics supports a laboratory offering dependable turnaround and traceable results. Clinics and employers may provide recurring work, while walk-in patients diversify collections. Management will build referral relationships around quality and service consistency, with specialised panels introduced only where equipment capability and expected throughput justify the reagent and quality-control costs.</w:t>
      </w:r>
    </w:p>
    <w:p>
      <w:pPr>
        <w:pStyle w:val="Default"/>
        <w:spacing w:after="120"/>
        <w:jc w:val="both"/>
      </w:pPr>
      <w:r>
        <w:t xml:space="preserve">The forecast assumes disciplined expansion of existing product and service lines, supported by the annual growth and collection assumptions in the schedules. Local competition, customer bargaining power and input-cost changes require regular review of quotations. Before expanding into another territory or customer group, management should compare incremental gross contribution with delivery, staffing and credit costs and retain only business that supports the repayment plan.</w:t>
      </w:r>
    </w:p>
    <w:p>
      <w:pPr>
        <w:spacing w:after="200"/>
      </w:pPr>
    </w:p>
    <w:p>
      <w:pPr>
        <w:pStyle w:val="sectionHeading"/>
        <w:spacing w:after="200" w:before="400"/>
        <w:jc w:val="center"/>
      </w:pPr>
      <w:r>
        <w:t xml:space="preserve">Quality Assurance and Control</w:t>
      </w:r>
    </w:p>
    <w:p>
      <w:pPr>
        <w:pStyle w:val="Default"/>
        <w:spacing w:after="120"/>
        <w:jc w:val="both"/>
      </w:pPr>
      <w:r>
        <w:t xml:space="preserve">Daily internal controls, calibration records and external proficiency review are central to reliable results. Samples failing identification or collection requirements are rejected through a documented procedure. Report access is restricted to authorised staff, and corrected results retain an audit trail; maintenance and reagent storage conditions are reviewed with the laboratory head.</w:t>
      </w:r>
    </w:p>
    <w:p>
      <w:pPr>
        <w:pStyle w:val="Default"/>
        <w:spacing w:after="120"/>
        <w:jc w:val="both"/>
      </w:pPr>
      <w:r>
        <w:t xml:space="preserve">The premises at Plot 12, Industrial Area, Indore are planned with separate reception, sample collection, processing and controlled storage areas. Equipment and collection staffing are designed for up to 250 routine-equivalent tests per working day, allowing headroom over the initial volume plan. Sample identification, transport conditions and turnaround times are logged from receipt to authorised report release. Operating records should link purchases or inputs to completed output and customer billing, allowing exceptions to be traced promptly. Responsibility for acceptance checks, stock custody and payment approval should be separated wherever staffing permits.</w:t>
      </w:r>
    </w:p>
    <w:p>
      <w:pPr>
        <w:pStyle w:val="Default"/>
        <w:spacing w:after="120"/>
        <w:jc w:val="both"/>
      </w:pPr>
      <w:r>
        <w:t xml:space="preserve">Management should retain supplier documents, maintenance records, customer complaints and corrective-action logs. Quality controls are intended to prevent avoidable returns and interruption as well as meet customer specifications. Periodic review of losses, rework and complaints should feed into costing and training; certifications or approvals should be claimed only after the applicable requirements have been met.</w:t>
      </w:r>
    </w:p>
    <w:p>
      <w:pPr>
        <w:spacing w:after="200"/>
      </w:pPr>
    </w:p>
    <w:p>
      <w:pPr>
        <w:pStyle w:val="sectionHeading"/>
        <w:spacing w:after="200" w:before="400"/>
        <w:jc w:val="center"/>
      </w:pPr>
      <w:r>
        <w:t xml:space="preserve">Risk Assessment and Mitigation</w:t>
      </w:r>
    </w:p>
    <w:p>
      <w:pPr>
        <w:pStyle w:val="Default"/>
        <w:spacing w:after="120"/>
        <w:jc w:val="both"/>
      </w:pPr>
      <w:r>
        <w:t xml:space="preserve">A slower referral build-up, equipment failure and errors in sample handling can affect both revenue and reputation. Phased marketing, preventive maintenance and approved referral-laboratory backup reduce interruption risk. Staff competency checks, internal controls, secure report delivery and documented consent address operational and confidentiality risks without assuming that accreditation is already obtained.</w:t>
      </w:r>
    </w:p>
    <w:p>
      <w:pPr>
        <w:pStyle w:val="Default"/>
        <w:spacing w:after="120"/>
        <w:jc w:val="both"/>
      </w:pPr>
      <w:r>
        <w:t xml:space="preserve">Demand for accessible local diagnostics supports a laboratory offering dependable turnaround and traceable results. Clinics and employers may provide recurring work, while walk-in patients diversify collections. Management will build referral relationships around quality and service consistency, with specialised panels introduced only where equipment capability and expected throughput justify the reagent and quality-control costs. These strengths are balanced by the need to manage utilisation, cost discipline and collection performance. The projection should be stress-tested for lower sales, higher input prices and a longer collection cycle, with repayment reviewed against the resulting cash accruals rather than solely against the base-case margin.</w:t>
      </w:r>
    </w:p>
    <w:p>
      <w:pPr>
        <w:pStyle w:val="Default"/>
        <w:spacing w:after="120"/>
        <w:jc w:val="both"/>
      </w:pPr>
      <w:r>
        <w:t xml:space="preserve">Repayment capacity is assessed from operating cash accruals after the scheduled interest charge and with principal obligations considered in the debt-service schedule. Accounting profit alone does not establish available bank cash: inventory growth, receivable delays and capital expenditure can absorb accruals. Management should maintain a rolling cash forecast and reserve funds for instalments before discretionary expenditure or distributions. Insurance, supplier continuity arrangements and timely statutory renewals should be reviewed annually. The bank should receive prompt explanations for material deviations from the sanctioned operating assumptions.</w:t>
      </w:r>
    </w:p>
    <w:p>
      <w:pPr>
        <w:spacing w:after="200"/>
      </w:pPr>
    </w:p>
    <w:p>
      <w:pPr>
        <w:pStyle w:val="sectionHeading"/>
        <w:spacing w:after="200" w:before="400"/>
        <w:jc w:val="center"/>
      </w:pPr>
      <w:r>
        <w:t xml:space="preserve">Financial Analysis</w:t>
      </w:r>
    </w:p>
    <w:p>
      <w:pPr>
        <w:pStyle w:val="Default"/>
        <w:spacing w:after="120"/>
        <w:jc w:val="both"/>
      </w:pPr>
      <w:r>
        <w:t xml:space="preserve">For the first reporting year, FY 2026-27, the computed schedules show sales of Rs. 310.00 lakh and net profit of Rs. 41.61 lakh. The first-year current ratio is 1.70 times and the arithmetic average of the annual DSCR values in the repayment schedule is 2.90 times. Final-year sales are Rs. 421.75 lakh with net profit of Rs. 76.40 lakh; these highlights reproduce the report's calculations rather than a separate earnings estimate.</w:t>
      </w:r>
    </w:p>
    <w:p>
      <w:pPr>
        <w:pStyle w:val="Default"/>
        <w:spacing w:after="120"/>
        <w:jc w:val="both"/>
      </w:pPr>
      <w:r>
        <w:t xml:space="preserve">The funding schedule provides a total outlay of Rs. 232.40 lakh, promoter contribution of Rs. 101.20 lakh, term finance of Rs. 118.80 lakh and cash credit of Rs. 12.40 lakh. The term facility is modelled at 9.5% over five years with a six-month moratorium; working-capital interest is modelled at 10%. Security documentation and final repayment terms remain subject to the bank's appraisal and sanction.</w:t>
      </w:r>
    </w:p>
    <w:p>
      <w:pPr>
        <w:pStyle w:val="Default"/>
        <w:spacing w:after="120"/>
        <w:jc w:val="both"/>
      </w:pPr>
      <w:r>
        <w:t xml:space="preserve">Repayment capacity is assessed from operating cash accruals after the scheduled interest charge and with principal obligations considered in the debt-service schedule. Accounting profit alone does not establish available bank cash: inventory growth, receivable delays and capital expenditure can absorb accruals. Management should maintain a rolling cash forecast and reserve funds for instalments before discretionary expenditure or distributions. Monthly management review should compare orders, realised prices, direct costs and collections with the financial schedules. Stock and debtor statements must reconcile with the books before submission to the bank. Any adverse movement in margin or overdue accounts should lead to a revised cash-flow forecast and corrective action before additional credit commitments are accepted.</w:t>
      </w:r>
    </w:p>
    <w:p>
      <w:pPr>
        <w:spacing w:after="200"/>
      </w:pPr>
    </w:p>
    <w:p>
      <w:pPr>
        <w:pStyle w:val="sectionHeading"/>
        <w:spacing w:after="200" w:before="400"/>
        <w:jc w:val="center"/>
      </w:pPr>
      <w:r>
        <w:t xml:space="preserve">Conclusion and Recommendations</w:t>
      </w:r>
    </w:p>
    <w:p>
      <w:pPr>
        <w:pStyle w:val="Default"/>
        <w:spacing w:after="120"/>
        <w:jc w:val="both"/>
      </w:pPr>
      <w:r>
        <w:t xml:space="preserve">FINXORA DIAGNOSTICS LLP's proposal connects pathology laboratory service activity with an identified operating plan, a defined promoter contribution and scheduled bank finance. Demand for accessible local diagnostics supports a laboratory offering dependable turnaround and traceable results. Clinics and employers may provide recurring work, while walk-in patients diversify collections. Management will build referral relationships around quality and service consistency, with specialised panels introduced only where equipment capability and expected throughput justify the reagent and quality-control costs. The computed liquidity and debt-service indicators support consideration of the proposal under the stated assumptions; they should be read with the detailed operating, balance-sheet and repayment schedules.</w:t>
      </w:r>
    </w:p>
    <w:p>
      <w:pPr>
        <w:pStyle w:val="Default"/>
        <w:spacing w:after="120"/>
        <w:jc w:val="both"/>
      </w:pPr>
      <w:r>
        <w:t xml:space="preserve">A slower referral build-up, equipment failure and errors in sample handling can affect both revenue and reputation. Phased marketing, preventive maintenance and approved referral-laboratory backup reduce interruption risk. Staff competency checks, internal controls, secure report delivery and documented consent address operational and confidentiality risks without assuming that accreditation is already obtained. Prior to sanction or renewal, the bank should examine promoter contribution, premises arrangements, equipment quotations, customer demand, statutory permissions and the proposed security. Disbursement should follow documented end use and completion of the agreed conditions.</w:t>
      </w:r>
    </w:p>
    <w:p>
      <w:pPr>
        <w:pStyle w:val="Default"/>
        <w:spacing w:after="120"/>
        <w:jc w:val="both"/>
      </w:pPr>
      <w:r>
        <w:t xml:space="preserve">Management should provide periodic stock, debtor and operating statements and discuss material deviations with the lender. Expansion should remain within demonstrated operational capacity and available working capital. This assessment is conditional on execution of the operating plan and timely collections; it does not constitute a guarantee of sanction, future profit or uninterrupted debt service.</w:t>
      </w:r>
    </w:p>
    <w:p>
      <w:pPr>
        <w:pStyle w:val="Default"/>
        <w:spacing w:after="120"/>
        <w:jc w:val="both"/>
      </w:pPr>
      <w:r>
        <w:t xml:space="preserve">This is a sample report prepared with Finxora; the business and its figures are illustrative.</w:t>
      </w:r>
    </w:p>
    <w:p>
      <w:pPr>
        <w:spacing w:after="200"/>
      </w:pPr>
    </w:p>
    <w:p>
      <w:r>
        <w:br w:type="page"/>
      </w:r>
    </w:p>
    <w:p>
      <w:pPr>
        <w:pStyle w:val="sectionHeading"/>
        <w:spacing w:after="200"/>
        <w:jc w:val="center"/>
      </w:pPr>
      <w:r>
        <w:t xml:space="preserve">Sales &amp; Purchase Breakdown</w:t>
      </w:r>
    </w:p>
    <w:p>
      <w:pPr>
        <w:spacing w:before="200" w:after="100"/>
      </w:pPr>
      <w:r>
        <w:rPr>
          <w:b/>
          <w:bCs/>
          <w:color w:val="000000"/>
          <w:sz w:val="24"/>
          <w:szCs w:val="24"/>
        </w:rPr>
        <w:t xml:space="preserve">Sales</w:t>
      </w:r>
    </w:p>
    <w:p>
      <w:pPr>
        <w:spacing w:before="160" w:after="80"/>
      </w:pPr>
      <w:r>
        <w:rPr>
          <w:b/>
          <w:bCs/>
          <w:i/>
          <w:iCs/>
          <w:color w:val="000000"/>
          <w:sz w:val="20"/>
          <w:szCs w:val="20"/>
        </w:rPr>
        <w:t xml:space="preserve">Sales - Monthly Bifurcation (Quantity x Rate)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40%"/>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Quantity</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Rate</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25,83,333.33</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Routine pathology panels</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3,100.00</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500.00</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15,50,000.00</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Specialised diagnostic panels</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861.11</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1,200.00</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10,33,333.33</w:t>
            </w:r>
          </w:p>
        </w:tc>
      </w:tr>
      <w:tr>
        <w:tc>
          <w:tcPr>
            <w:tcW w:type="pct" w:w="40%"/>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51,66,666.66</w:t>
            </w:r>
          </w:p>
        </w:tc>
      </w:tr>
    </w:tbl>
    <w:p>
      <w:pPr>
        <w:spacing w:before="160" w:after="80"/>
      </w:pPr>
      <w:r>
        <w:rPr>
          <w:b/>
          <w:bCs/>
          <w:i/>
          <w:iCs/>
          <w:color w:val="000000"/>
          <w:sz w:val="20"/>
          <w:szCs w:val="20"/>
        </w:rPr>
        <w:t xml:space="preserve">Sales - Yearly Projection (Year 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25,83,333.33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3,10,00,000.00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Routine pathology panels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3,100.00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37,200.00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15,50,000.00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1,86,00,000.00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Specialised diagnostic panels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861.11</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10,333.33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10,33,333.33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1,23,99,999.96</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51,66,666.66</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6,19,99,999.96</w:t>
            </w:r>
          </w:p>
        </w:tc>
      </w:tr>
    </w:tbl>
    <w:p>
      <w:pPr>
        <w:spacing w:before="160" w:after="80"/>
      </w:pPr>
      <w:r>
        <w:rPr>
          <w:b/>
          <w:bCs/>
          <w:i/>
          <w:iCs/>
          <w:color w:val="000000"/>
          <w:sz w:val="20"/>
          <w:szCs w:val="20"/>
        </w:rPr>
        <w:t xml:space="preserve">Sales - Yearly Projection (Year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27,90,000.00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3,34,80,000.00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Routine pathology panels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3,875.00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46,500.00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19,37,500.00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2,32,50,000.00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Specialised diagnostic panels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1,076.39</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12,916.67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12,91,666.66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1,54,99,999.95</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60,19,166.66</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7,22,29,999.95</w:t>
            </w:r>
          </w:p>
        </w:tc>
      </w:tr>
    </w:tbl>
    <w:p>
      <w:pPr>
        <w:spacing w:before="160" w:after="80"/>
      </w:pPr>
      <w:r>
        <w:rPr>
          <w:b/>
          <w:bCs/>
          <w:i/>
          <w:iCs/>
          <w:color w:val="000000"/>
          <w:sz w:val="20"/>
          <w:szCs w:val="20"/>
        </w:rPr>
        <w:t xml:space="preserve">Sales - Yearly Projection (Year 3)</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30,13,200.00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3,61,58,400.00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Routine pathology panels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4,843.75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58,125.00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24,21,875.00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2,90,62,500.00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Specialised diagnostic panels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1,345.49</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16,145.83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16,14,583.33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1,93,74,999.94</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70,49,658.33</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8,45,95,899.94</w:t>
            </w:r>
          </w:p>
        </w:tc>
      </w:tr>
    </w:tbl>
    <w:p>
      <w:pPr>
        <w:spacing w:before="160" w:after="80"/>
      </w:pPr>
      <w:r>
        <w:rPr>
          <w:b/>
          <w:bCs/>
          <w:i/>
          <w:iCs/>
          <w:color w:val="000000"/>
          <w:sz w:val="20"/>
          <w:szCs w:val="20"/>
        </w:rPr>
        <w:t xml:space="preserve">Sales - Yearly Projection (Year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32,54,256.00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3,90,51,072.00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Routine pathology panels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6,054.69</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72,656.25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30,27,343.75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3,63,28,125.00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Specialised diagnostic panels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1,681.86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20,182.29</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20,18,229.16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2,42,18,749.92</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82,99,828.91</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9,95,97,946.92</w:t>
            </w:r>
          </w:p>
        </w:tc>
      </w:tr>
    </w:tbl>
    <w:p>
      <w:pPr>
        <w:spacing w:before="160" w:after="80"/>
      </w:pPr>
      <w:r>
        <w:rPr>
          <w:b/>
          <w:bCs/>
          <w:i/>
          <w:iCs/>
          <w:color w:val="000000"/>
          <w:sz w:val="20"/>
          <w:szCs w:val="20"/>
        </w:rPr>
        <w:t xml:space="preserve">Sales - Yearly Projection (Year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35,14,596.48</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4,21,75,157.76</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Routine pathology panels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7,568.36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90,820.31</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37,84,179.69</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4,54,10,156.25</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Specialised diagnostic panels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2,102.32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25,227.86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25,22,786.45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3,02,73,437.40</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98,21,562.62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11,78,58,751.41</w:t>
            </w:r>
          </w:p>
        </w:tc>
      </w:tr>
    </w:tbl>
    <w:p>
      <w:pPr>
        <w:spacing w:before="200" w:after="100"/>
      </w:pPr>
      <w:r>
        <w:rPr>
          <w:b/>
          <w:bCs/>
          <w:color w:val="000000"/>
          <w:sz w:val="24"/>
          <w:szCs w:val="24"/>
        </w:rPr>
        <w:t xml:space="preserve">Purchase</w:t>
      </w:r>
    </w:p>
    <w:p>
      <w:pPr>
        <w:spacing w:before="160" w:after="80"/>
      </w:pPr>
      <w:r>
        <w:rPr>
          <w:b/>
          <w:bCs/>
          <w:i/>
          <w:iCs/>
          <w:color w:val="000000"/>
          <w:sz w:val="20"/>
          <w:szCs w:val="20"/>
        </w:rPr>
        <w:t xml:space="preserve">Purchase - Monthly Bifurcation (Quantity x Rate)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40%"/>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Quantity</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Rate</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8,05,787.67</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Routine pathology panels reagents and outsourced work (for Routine pathology panels @ 100% recovery)</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3,100.00</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155.96</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4,83,472.60</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Specialised diagnostic panels reagents and outsourced work (for Specialised diagnostic panels @ 100% recovery)</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861.11</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374.30</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3,22,315.07</w:t>
            </w:r>
          </w:p>
        </w:tc>
      </w:tr>
      <w:tr>
        <w:tc>
          <w:tcPr>
            <w:tcW w:type="pct" w:w="40%"/>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16,11,575.34</w:t>
            </w:r>
          </w:p>
        </w:tc>
      </w:tr>
    </w:tbl>
    <w:p>
      <w:pPr>
        <w:spacing w:before="160" w:after="80"/>
      </w:pPr>
      <w:r>
        <w:rPr>
          <w:b/>
          <w:bCs/>
          <w:i/>
          <w:iCs/>
          <w:color w:val="000000"/>
          <w:sz w:val="20"/>
          <w:szCs w:val="20"/>
        </w:rPr>
        <w:t xml:space="preserve">Purchase - Yearly Projection (Year 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8,05,787.67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96,69,452.05</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Routine pathology panels reagents and outsourced work</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3,100.00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37,200.00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4,83,472.60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58,01,671.20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Specialised diagnostic panels reagents and outsourced work</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861.11</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10,333.33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3,22,315.07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38,67,780.84</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16,11,575.34</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1,93,38,904.09</w:t>
            </w:r>
          </w:p>
        </w:tc>
      </w:tr>
    </w:tbl>
    <w:p>
      <w:pPr>
        <w:spacing w:before="160" w:after="80"/>
      </w:pPr>
      <w:r>
        <w:rPr>
          <w:b/>
          <w:bCs/>
          <w:i/>
          <w:iCs/>
          <w:color w:val="000000"/>
          <w:sz w:val="20"/>
          <w:szCs w:val="20"/>
        </w:rPr>
        <w:t xml:space="preserve">Purchase - Yearly Projection (Year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8,13,629.68</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97,63,556.16</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Routine pathology panels reagents and outsourced work</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3,565.00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42,780.00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5,55,993.49</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66,71,921.88</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Specialised diagnostic panels reagents and outsourced work</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990.28</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11,883.33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3,70,662.33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44,47,947.97</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17,40,285.50</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2,08,83,426.01</w:t>
            </w:r>
          </w:p>
        </w:tc>
      </w:tr>
    </w:tbl>
    <w:p>
      <w:pPr>
        <w:spacing w:before="160" w:after="80"/>
      </w:pPr>
      <w:r>
        <w:rPr>
          <w:b/>
          <w:bCs/>
          <w:i/>
          <w:iCs/>
          <w:color w:val="000000"/>
          <w:sz w:val="20"/>
          <w:szCs w:val="20"/>
        </w:rPr>
        <w:t xml:space="preserve">Purchase - Yearly Projection (Year 3)</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8,78,720.06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1,05,44,640.66</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Routine pathology panels reagents and outsourced work</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4,099.75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49,197.00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6,39,392.51</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76,72,710.16</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Specialised diagnostic panels reagents and outsourced work</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1,138.82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13,665.83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4,26,261.68</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51,15,140.16</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19,44,374.25</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2,33,32,490.98</w:t>
            </w:r>
          </w:p>
        </w:tc>
      </w:tr>
    </w:tbl>
    <w:p>
      <w:pPr>
        <w:spacing w:before="160" w:after="80"/>
      </w:pPr>
      <w:r>
        <w:rPr>
          <w:b/>
          <w:bCs/>
          <w:i/>
          <w:iCs/>
          <w:color w:val="000000"/>
          <w:sz w:val="20"/>
          <w:szCs w:val="20"/>
        </w:rPr>
        <w:t xml:space="preserve">Purchase - Yearly Projection (Year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9,49,017.66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1,13,88,211.91</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Routine pathology panels reagents and outsourced work</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4,714.71</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56,576.55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7,35,301.39</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88,23,616.69</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Specialised diagnostic panels reagents and outsourced work</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1,309.64</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15,715.71</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4,90,200.93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58,82,411.19</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21,74,519.98</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2,60,94,239.78</w:t>
            </w:r>
          </w:p>
        </w:tc>
      </w:tr>
    </w:tbl>
    <w:p>
      <w:pPr>
        <w:spacing w:before="160" w:after="80"/>
      </w:pPr>
      <w:r>
        <w:rPr>
          <w:b/>
          <w:bCs/>
          <w:i/>
          <w:iCs/>
          <w:color w:val="000000"/>
          <w:sz w:val="20"/>
          <w:szCs w:val="20"/>
        </w:rPr>
        <w:t xml:space="preserve">Purchase - Yearly Projection (Year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10,24,939.07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1,22,99,268.86</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Routine pathology panels reagents and outsourced work</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5,421.92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65,063.03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8,45,596.60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1,01,47,159.19</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Specialised diagnostic panels reagents and outsourced work</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test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1,506.09</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18,073.06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5,63,731.07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67,64,772.86</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24,34,266.74</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2,92,11,200.91</w:t>
            </w:r>
          </w:p>
        </w:tc>
      </w:tr>
    </w:tbl>
    <w:p>
      <w:r>
        <w:br w:type="page"/>
      </w:r>
    </w:p>
    <w:p>
      <w:pPr>
        <w:pStyle w:val="sectionHeading"/>
        <w:spacing w:after="200"/>
        <w:jc w:val="center"/>
      </w:pPr>
      <w:r>
        <w:t xml:space="preserve">Revenue &amp; expenses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60"/>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Monthly Amount</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Sales &amp; Revenue</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Routine pathology panels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15,50,000.00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Specialised diagnostic panels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10,33,333.33</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Sales Revenue</w:t>
            </w:r>
          </w:p>
        </w:tc>
        <w:tc>
          <w:tcPr>
            <w:tcW w:type="pct" w:w="60%"/>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25,83,333.33</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Purchases</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Routine pathology panels reagents and outsourced work</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4,83,472.60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Specialised diagnostic panels reagents and outsourced work</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3,22,315.07</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Purchases</w:t>
            </w:r>
          </w:p>
        </w:tc>
        <w:tc>
          <w:tcPr>
            <w:tcW w:type="pct" w:w="60%"/>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8,05,787.67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Administrative Expenses</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Salaries &amp; Wages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1,16,250.00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Rent</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46,500.00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Utilities (Electricity, Water, etc.)</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Office Supplies &amp; Stationery</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11,625.00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Communication (Phone, Internet)</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11,625.00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Travel &amp; Conveyance</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23,250.00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Professional Fees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15,500.00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Insurance</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15,500.00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Repairs &amp; Maintenance</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23,250.00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Bank Charges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7,750.00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Administrative Expenses</w:t>
            </w:r>
          </w:p>
        </w:tc>
        <w:tc>
          <w:tcPr>
            <w:tcW w:type="pct" w:w="60%"/>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3,02,250.00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Selling &amp; Distribution Expenses</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Advertising &amp; Marketing</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38,750.00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Freight &amp; Transportation</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38,750.00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Other Direct Expenses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7,750.00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Power &amp; Fuel</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77,500.00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Technical and field staff costs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4,90,833.33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Other direct service costs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51,666.67</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Selling &amp; Distribution Expenses</w:t>
            </w:r>
          </w:p>
        </w:tc>
        <w:tc>
          <w:tcPr>
            <w:tcW w:type="pct" w:w="60%"/>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7,05,250.00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Closing Stock</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Closing Stock Value (yearly)</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6,79,452.05</w:t>
            </w:r>
          </w:p>
        </w:tc>
      </w:tr>
    </w:tbl>
    <w:p>
      <w:pPr>
        <w:spacing w:after="400"/>
      </w:pPr>
    </w:p>
    <w:p>
      <w:r>
        <w:br w:type="page"/>
      </w:r>
    </w:p>
    <w:p>
      <w:pPr>
        <w:pStyle w:val="sectionHeading"/>
        <w:spacing w:after="200"/>
        <w:jc w:val="center"/>
      </w:pPr>
      <w:r>
        <w:t xml:space="preserve">Profit &amp; Loss Account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SALES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Pathology laboratory service income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3,34,80,000.00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3,61,58,400.00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3,90,51,072.00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4,21,75,157.76</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3,10,00,000.00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3,34,80,000.00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3,61,58,400.00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3,90,51,072.00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4,21,75,157.76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Closing Stock</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6,79,452.05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7,33,808.22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7,92,512.88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8,55,913.91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9,24,387.02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Opening Stock</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6,79,452.05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7,33,808.22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7,92,512.88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8,55,913.91</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PURCHASES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Consumables and outsourced service costs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96,69,452.05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97,63,556.16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1,05,44,640.66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1,13,88,211.91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1,22,99,268.86</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Purchases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96,69,452.05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97,63,556.16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1,05,44,640.66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1,13,88,211.91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1,22,99,268.86</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DIRECT EXPENSES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Advertising &amp; Marketing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5,02,200.00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5,42,376.00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5,85,766.08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6,32,627.37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Freight &amp; Transportation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5,02,200.00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5,42,376.00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5,85,766.08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6,32,627.37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 Direct Expenses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93,000.00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1,00,440.00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1,08,475.20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1,17,153.22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1,26,525.47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Power &amp; Fuel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9,30,000.00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10,04,400.00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10,84,752.00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11,71,532.16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12,65,254.73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Technical and field staff costs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58,90,000.00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63,61,200.00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68,70,096.00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74,19,703.68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80,13,279.97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 direct service costs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6,20,000.00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6,69,600.00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7,23,168.00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7,81,021.44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8,43,503.16</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Direct Expenses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84,63,000.00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91,40,040.00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98,71,243.20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1,06,60,942.66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1,15,13,818.07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GROSS PROFIT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1,35,47,000.00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1,46,30,760.01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1,58,01,220.80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1,70,65,318.46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1,84,30,543.94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INDIRECT EXPENSES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Salaries &amp; Wages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13,95,000.00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15,06,600.00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16,27,128.00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17,57,298.24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18,97,882.10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Rent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5,58,000.00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6,02,640.00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6,50,851.20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7,02,919.30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7,59,152.84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Utilities (Electricity, Water, etc.)</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3,72,000.00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4,01,760.00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4,33,900.80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4,68,612.86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5,06,101.89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Office Supplies &amp; Stationery</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1,39,500.00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1,50,660.00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1,62,712.80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1,75,729.82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1,89,788.21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Communication (Phone, Internet)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1,39,500.00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1,50,660.00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1,62,712.80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1,75,729.82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1,89,788.21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Travel &amp; Conveyance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2,79,000.00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3,01,320.00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3,25,425.60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3,51,459.65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3,79,576.42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Professional Fees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2,00,880.00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2,16,950.40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2,34,306.43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2,53,050.95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Insurance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2,00,880.00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2,16,950.40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2,34,306.43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2,53,050.95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Repairs &amp; Maintenance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2,79,000.00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3,01,320.00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3,25,425.60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3,51,459.65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3,79,576.42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Bank Charges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93,000.00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1,00,440.00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1,08,475.20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1,17,153.22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1,26,525.47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22,77,000.00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19,65,150.00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16,97,107.51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14,66,598.37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Interest on WCL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Interest on TL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11,07,337.42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9,25,927.08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6,94,805.58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4,40,745.84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1,61,471.27</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Indirect Expenses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74,98,337.42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72,44,087.08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70,14,488.38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68,30,828.77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66,86,563.10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EBDIT (PBDIT)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99,20,000.00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1,07,13,600.01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1,15,70,688.00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1,24,96,343.04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1,34,96,050.48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Profit Before Tax</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60,48,662.58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73,86,672.93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87,86,732.42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1,02,34,489.69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1,17,43,980.84</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Provision for Income Tax</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18,87,182.72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23,04,641.95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27,41,460.51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33,63,869.28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41,03,816.66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NET PROFIT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41,61,479.86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50,82,030.98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60,45,271.91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68,70,620.41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76,40,164.18</w:t>
            </w:r>
          </w:p>
        </w:tc>
      </w:tr>
    </w:tbl>
    <w:p>
      <w:pPr>
        <w:spacing w:after="400"/>
      </w:pPr>
    </w:p>
    <w:p>
      <w:r>
        <w:br w:type="page"/>
      </w:r>
    </w:p>
    <w:p>
      <w:pPr>
        <w:pStyle w:val="sectionHeading"/>
        <w:spacing w:after="200"/>
        <w:jc w:val="center"/>
      </w:pPr>
      <w:r>
        <w:t xml:space="preserve">Cash Flow Statement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Cash Inflow</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Capital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1,01,20,000.00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Subsidy</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Termloan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1,18,80,000.00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Working Capital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25,02,936.14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4,66,719.51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4,90,019.65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6,79,865.96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8,02,001.14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Non-Current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Non-Term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Other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Non-Current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Investments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Profit before tax with interest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84,36,600.01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96,05,538.00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1,07,99,235.53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1,20,29,452.11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22,77,000.00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19,65,150.00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16,97,107.51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14,66,598.37</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Cash Inflow</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3,56,62,936.14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1,11,80,319.52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1,20,60,707.65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1,31,76,209.00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1,42,98,051.62</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Cash Outflow</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Fixed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40,76,712.32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3,26,137.00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3,52,227.94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3,80,406.18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4,10,838.68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Non-Current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Investments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Interest on TL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11,07,337.42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9,25,927.08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6,94,805.58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4,40,745.84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1,61,471.27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Interest on WCL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Term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8,99,997.52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23,10,445.71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25,39,751.87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27,91,816.11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30,68,897.11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Working Capital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Drawing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14,56,517.95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17,78,710.84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21,15,845.17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24,04,717.14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26,74,057.46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Provision for Income Tax</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18,87,182.72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23,04,641.95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27,41,460.51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33,63,869.28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41,03,816.66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Non-Current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Other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Non-Term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Cash Outflow</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3,15,51,747.93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77,69,862.58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85,68,091.07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95,05,554.55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1,05,43,081.18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Opening balance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41,11,188.20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75,21,645.14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1,10,14,261.72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1,46,84,916.16</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Net Cashflow</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41,11,188.20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34,10,456.94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34,92,616.58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36,70,654.44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37,54,970.42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Closing balance</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41,11,188.20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75,21,645.14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1,10,14,261.72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1,46,84,916.16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1,84,39,886.58</w:t>
            </w:r>
          </w:p>
        </w:tc>
      </w:tr>
    </w:tbl>
    <w:p>
      <w:pPr>
        <w:spacing w:after="400"/>
      </w:pPr>
    </w:p>
    <w:p>
      <w:r>
        <w:br w:type="page"/>
      </w:r>
    </w:p>
    <w:p>
      <w:pPr>
        <w:pStyle w:val="sectionHeading"/>
        <w:spacing w:after="200"/>
        <w:jc w:val="center"/>
      </w:pPr>
      <w:r>
        <w:t xml:space="preserve">Balance Sheet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CAPITAL ACCOUNT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Capital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1,01,20,000.00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1,28,24,961.91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1,61,28,282.05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2,00,57,708.79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2,45,23,612.06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Profit &amp; Loss A/c</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41,61,479.86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50,82,030.98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60,45,271.91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68,70,620.41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76,40,164.18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Drawings (Withdrawal)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14,56,517.95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17,78,710.84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21,15,845.17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24,04,717.14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26,74,057.46</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NET WORTH</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1,28,24,961.91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1,61,28,282.05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2,00,57,708.79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2,45,23,612.06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2,94,89,718.78</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LOAN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Working Capital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LOAN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12,40,000.00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CURRENT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Sundry Creditor (Trade)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6,15,753.42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6,65,013.70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7,18,214.79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7,75,671.98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8,37,725.74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Provision for Income Tax</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18,87,182.72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23,04,641.95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27,41,460.51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33,63,869.28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41,03,816.66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Current Portion of Term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23,10,445.71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25,39,751.87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27,91,816.11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30,68,897.11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CURRENT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48,13,381.85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55,09,407.52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62,51,491.41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72,08,438.37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49,41,542.40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TERM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Term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86,69,556.76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61,29,804.89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33,37,988.79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2,69,091.68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2,69,091.68</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TERM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86,69,556.76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61,29,804.89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33,37,988.79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2,69,091.68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2,69,091.68</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NON CURRENT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EQUITY + LIABILITY</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2,75,47,900.52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2,90,07,494.46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3,08,87,188.99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3,32,41,142.11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3,59,40,352.86</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FIXED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Gross Block</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1,93,60,000.00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1,70,83,000.00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1,51,17,850.00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1,34,20,742.51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Depreciation to date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22,77,000.00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19,65,150.00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16,97,107.51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14,66,598.37</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NET BLOCK</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1,93,60,000.00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1,70,83,000.00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1,51,17,850.00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1,34,20,742.49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1,19,54,144.14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Cash &amp; Cash Equivalents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41,11,188.20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75,21,645.14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1,10,14,261.72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1,46,84,916.16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1,84,39,886.58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Inventory</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6,79,452.05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7,33,808.22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7,92,512.88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8,55,913.91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9,24,387.02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Sundry Debtors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33,97,260.27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36,69,041.10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39,62,564.38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42,79,569.53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46,21,935.10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CURRENT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81,87,900.52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1,19,24,494.46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1,57,69,338.98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1,98,20,399.60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2,39,86,208.70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NON 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2,75,47,900.52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2,90,07,494.46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3,08,87,188.98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3,32,41,142.09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3,59,40,352.84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Difference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0.02</w:t>
            </w:r>
          </w:p>
        </w:tc>
      </w:tr>
    </w:tbl>
    <w:p>
      <w:pPr>
        <w:spacing w:after="400"/>
      </w:pPr>
    </w:p>
    <w:p>
      <w:r>
        <w:br w:type="page"/>
      </w:r>
    </w:p>
    <w:p>
      <w:pPr>
        <w:pStyle w:val="sectionHeading"/>
        <w:spacing w:after="200"/>
        <w:jc w:val="center"/>
      </w:pPr>
      <w:r>
        <w:t xml:space="preserve">Depreciation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Land</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Building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49,50,000.00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44,55,000.00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40,09,500.00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36,08,550.00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49,50,000.00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44,55,000.00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40,09,500.00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36,08,550.00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4,45,500.00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4,00,950.00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3,60,855.00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49,50,000.00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44,55,000.00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40,09,500.00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36,08,550.00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32,47,695.00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Furniture &amp; Fixtures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9,90,000.00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8,91,000.00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8,01,900.00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7,21,710.00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9,90,000.00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8,91,000.00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8,01,900.00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7,21,710.00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99,000.00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89,100.00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80,190.00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72,171.00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9,90,000.00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8,91,000.00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8,01,900.00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7,21,710.00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6,49,539.00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Plant &amp; Machinery</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99,00,000.00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84,15,000.00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71,52,750.00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60,79,837.50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51,67,861.88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99,00,000.00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84,15,000.00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71,52,750.00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60,79,837.50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51,67,861.88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14,85,000.00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12,62,250.00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10,72,912.50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9,11,975.63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7,75,179.28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84,15,000.00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71,52,750.00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60,79,837.50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51,67,861.88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43,92,682.60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Vehicles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23,84,250.00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20,26,612.50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17,22,620.63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23,84,250.00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20,26,612.50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17,22,620.63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4,20,750.00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3,57,637.50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3,03,991.88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2,58,393.09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28,05,000.00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23,84,250.00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20,26,612.50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17,22,620.63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14,64,227.54</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Opening</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2,20,00,000.00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1,93,60,000.00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1,70,83,000.00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1,51,17,850.00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1,34,20,742.51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During the Year</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Gross Block</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2,20,00,000.00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1,93,60,000.00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1,70,83,000.00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1,51,17,850.00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1,34,20,742.51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less depreciation</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26,40,000.00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22,77,000.00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19,65,150.00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16,97,107.51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14,66,598.37</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Adjust (Dep) (Add/Less)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written down value</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1,93,60,000.00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1,70,83,000.00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1,51,17,850.00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1,34,20,742.51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1,19,54,144.14</w:t>
            </w:r>
          </w:p>
        </w:tc>
      </w:tr>
    </w:tbl>
    <w:p>
      <w:pPr>
        <w:spacing w:after="400"/>
      </w:pPr>
    </w:p>
    <w:p>
      <w:r>
        <w:br w:type="page"/>
      </w:r>
    </w:p>
    <w:p>
      <w:pPr>
        <w:pStyle w:val="sectionHeading"/>
        <w:spacing w:after="200"/>
        <w:jc w:val="center"/>
      </w:pPr>
      <w:r>
        <w:t xml:space="preserve">Breakeven Point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Sales Analysis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Total Sales Revenue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3,34,80,000.00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3,61,58,400.00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3,90,51,072.00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4,21,75,157.76</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Cost Analysis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Fixed Costs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74,98,337.42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72,44,087.08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70,14,488.38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68,30,828.77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66,86,563.10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Variable Costs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1,74,53,000.00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1,88,49,239.99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2,03,57,179.20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2,19,85,753.54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2,37,44,613.82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  Total Costs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2,49,51,337.42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2,60,93,327.07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2,73,71,667.58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2,88,16,582.31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3,04,31,176.92</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Contribution Analysis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Contribution Margin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1,35,47,000.00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1,46,30,760.01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1,58,01,220.80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1,70,65,318.46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1,84,30,543.94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Contribution Ratio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43.70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Break-Even Analysis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Break-even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1,71,58,666.86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1,65,76,858.30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1,60,51,460.82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1,56,31,187.12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1,53,01,059.73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  Break-even Point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55.35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49.51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44.39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40.03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36.28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Margin of Safety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1,38,41,333.14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1,69,03,141.70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2,01,06,939.18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2,34,19,884.88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2,68,74,098.03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  Margin of Safety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44.65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50.49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55.61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59.97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63.72</w:t>
            </w:r>
          </w:p>
        </w:tc>
      </w:tr>
    </w:tbl>
    <w:p>
      <w:pPr>
        <w:spacing w:after="400"/>
      </w:pPr>
    </w:p>
    <w:p>
      <w:r>
        <w:br w:type="page"/>
      </w:r>
    </w:p>
    <w:p>
      <w:pPr>
        <w:pStyle w:val="sectionHeading"/>
        <w:spacing w:after="200"/>
        <w:jc w:val="center"/>
      </w:pPr>
      <w:r>
        <w:t xml:space="preserve">EMI Repayment Schedule for Term Loan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Height w:val="400" w:hRule="atLeast"/>
        </w:trPr>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Month</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Payment Date</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Opening Bal.</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EMI</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Principal</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Interest</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Closing Bal.</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94,050.00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94,050.00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94,050.00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94,050.00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94,050.00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94,050.00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94,050.00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94,050.00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94,050.00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94,050.00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94,050.00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94,050.00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1,77,171.99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94,050.00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1,17,02,828.01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1,17,02,828.01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1,78,574.60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92,647.39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1,15,24,253.42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1,15,24,253.42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1,79,988.31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91,233.67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1,13,44,265.11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1,13,44,265.11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1,81,413.22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89,808.77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1,11,62,851.89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1,11,62,851.89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1,82,849.41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88,372.58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1,09,80,002.48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1,09,80,002.48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1,84,296.97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86,925.02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1,07,95,705.51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1,07,95,705.51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1,85,755.98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85,466.00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1,06,09,949.53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1,06,09,949.53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1,87,226.55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83,995.43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1,04,22,722.98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1,04,22,722.98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1,88,708.76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82,513.22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1,02,34,014.22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1,02,34,014.22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1,90,202.71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81,019.28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1,00,43,811.51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1,00,43,811.51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1,91,708.48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79,513.51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98,52,103.03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98,52,103.03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1,93,226.17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77,995.82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96,58,876.87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96,58,876.87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1,94,755.88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76,466.11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94,64,120.99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94,64,120.99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1,96,297.69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74,924.29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92,67,823.29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92,67,823.29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1,97,851.72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73,370.27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90,69,971.58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90,69,971.58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1,99,418.04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71,803.94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88,70,553.53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88,70,553.53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2,00,996.77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70,225.22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86,69,556.76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86,69,556.76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2,02,587.99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68,633.99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84,66,968.77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84,66,968.77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2,04,191.82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67,030.17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82,62,776.95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82,62,776.95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2,05,808.33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65,413.65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80,56,968.62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80,56,968.62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2,07,437.65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63,784.33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78,49,530.97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78,49,530.97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2,09,079.86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62,142.12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76,40,451.11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76,40,451.11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2,10,735.08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60,486.90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74,29,716.02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74,29,716.02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2,12,403.40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58,818.59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72,17,312.62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72,17,312.62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2,14,084.93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57,137.06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70,03,227.70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70,03,227.70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2,15,779.77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55,442.22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67,87,447.93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67,87,447.93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2,17,488.02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53,733.96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65,69,959.91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65,69,959.91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2,19,209.80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52,012.18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63,50,750.11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63,50,750.11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2,20,945.21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50,276.77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61,29,804.89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61,29,804.89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2,22,694.36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48,527.62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59,07,110.53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59,07,110.53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2,24,457.36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46,764.63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56,82,653.17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56,82,653.17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2,26,234.31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44,987.67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54,56,418.86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54,56,418.86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2,28,025.34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43,196.65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52,28,393.52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52,28,393.52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2,29,830.54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41,391.45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49,98,562.98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49,98,562.98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2,31,650.03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39,571.96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47,66,912.96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47,66,912.96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2,33,483.92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37,738.06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45,33,429.03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45,33,429.03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2,35,332.34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35,889.65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42,98,096.69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42,98,096.69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2,37,195.39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34,026.60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40,60,901.31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40,60,901.31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2,39,073.18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32,148.80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38,21,828.12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38,21,828.12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2,40,965.85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30,256.14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35,80,862.28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35,80,862.28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2,42,873.49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28,348.49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33,37,988.79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33,37,988.79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2,44,796.24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26,425.74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30,93,192.55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30,93,192.55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2,46,734.21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24,487.77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28,46,458.34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28,46,458.34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2,48,687.52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22,534.46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25,97,770.81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25,97,770.81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2,50,656.30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20,565.69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23,47,114.51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23,47,114.51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2,52,640.66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18,581.32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20,94,473.85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20,94,473.85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2,54,640.73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16,581.25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18,39,833.12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18,39,833.12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2,56,656.64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14,565.35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15,83,176.48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15,83,176.48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2,58,688.50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12,533.48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13,24,487.97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13,24,487.97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2,60,736.46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10,485.53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10,63,751.52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10,63,751.52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2,62,800.62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8,421.37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8,00,950.90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8,00,950.90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2,64,881.12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6,340.86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5,36,069.78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5,36,069.78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2,66,978.10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4,243.89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2,69,091.68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60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2,69,091.68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2,71,221.99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2,69,091.68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2,130.31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r>
    </w:tbl>
    <w:p>
      <w:r>
        <w:br w:type="page"/>
      </w:r>
    </w:p>
    <w:p>
      <w:pPr>
        <w:pStyle w:val="sectionHeading"/>
        <w:spacing w:after="300"/>
        <w:jc w:val="center"/>
      </w:pPr>
      <w:r>
        <w:t xml:space="preserve">EXPLANATIONS &amp; CONCLUSION</w:t>
      </w:r>
    </w:p>
    <w:p>
      <w:pPr>
        <w:spacing w:before="200" w:after="100"/>
      </w:pPr>
      <w:r>
        <w:rPr>
          <w:b/>
          <w:bCs/>
          <w:color w:val="FFFFFF"/>
          <w:sz w:val="28"/>
          <w:szCs w:val="28"/>
        </w:rPr>
        <w:t xml:space="preserve">Assumptions</w:t>
      </w:r>
    </w:p>
    <w:p>
      <w:pPr>
        <w:spacing w:after="150"/>
      </w:pPr>
      <w:r>
        <w:t xml:space="preserve">The entire projection is based on the assumption that the sales for 5 years will be as follows: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475569" w:color="475569" w:val="solid"/>
          </w:tcPr>
          <w:p>
            <w:pPr>
              <w:pStyle w:val="Default"/>
              <w:jc w:val="center"/>
            </w:pPr>
            <w:r>
              <w:rPr>
                <w:color w:val="FFFFFF"/>
              </w:rPr>
              <w:t xml:space="preserve">31/03/2027</w:t>
            </w:r>
          </w:p>
        </w:tc>
        <w:tc>
          <w:tcPr>
            <w:shd w:fill="475569" w:color="475569" w:val="solid"/>
          </w:tcPr>
          <w:p>
            <w:pPr>
              <w:pStyle w:val="Default"/>
              <w:jc w:val="center"/>
            </w:pPr>
            <w:r>
              <w:rPr>
                <w:color w:val="FFFFFF"/>
              </w:rPr>
              <w:t xml:space="preserve">31/03/2028</w:t>
            </w:r>
          </w:p>
        </w:tc>
        <w:tc>
          <w:tcPr>
            <w:shd w:fill="475569" w:color="475569" w:val="solid"/>
          </w:tcPr>
          <w:p>
            <w:pPr>
              <w:pStyle w:val="Default"/>
              <w:jc w:val="center"/>
            </w:pPr>
            <w:r>
              <w:rPr>
                <w:color w:val="FFFFFF"/>
              </w:rPr>
              <w:t xml:space="preserve">31/03/2029</w:t>
            </w:r>
          </w:p>
        </w:tc>
        <w:tc>
          <w:tcPr>
            <w:shd w:fill="475569" w:color="475569" w:val="solid"/>
          </w:tcPr>
          <w:p>
            <w:pPr>
              <w:pStyle w:val="Default"/>
              <w:jc w:val="center"/>
            </w:pPr>
            <w:r>
              <w:rPr>
                <w:color w:val="FFFFFF"/>
              </w:rPr>
              <w:t xml:space="preserve">31/03/2030</w:t>
            </w:r>
          </w:p>
        </w:tc>
        <w:tc>
          <w:tcPr>
            <w:shd w:fill="475569" w:color="475569" w:val="solid"/>
          </w:tcPr>
          <w:p>
            <w:pPr>
              <w:pStyle w:val="Default"/>
              <w:jc w:val="center"/>
            </w:pPr>
            <w:r>
              <w:rPr>
                <w:color w:val="FFFFFF"/>
              </w:rPr>
              <w:t xml:space="preserve">31/03/2031</w:t>
            </w:r>
          </w:p>
        </w:tc>
      </w:tr>
      <w:tr>
        <w:tc>
          <w:p>
            <w:pPr>
              <w:pStyle w:val="Default"/>
              <w:jc w:val="right"/>
            </w:pPr>
            <w:r>
              <w:t xml:space="preserve">3,10,00,000.00</w:t>
            </w:r>
          </w:p>
        </w:tc>
        <w:tc>
          <w:p>
            <w:pPr>
              <w:pStyle w:val="Default"/>
              <w:jc w:val="right"/>
            </w:pPr>
            <w:r>
              <w:t xml:space="preserve">3,34,80,000.00</w:t>
            </w:r>
          </w:p>
        </w:tc>
        <w:tc>
          <w:p>
            <w:pPr>
              <w:pStyle w:val="Default"/>
              <w:jc w:val="right"/>
            </w:pPr>
            <w:r>
              <w:t xml:space="preserve">3,61,58,400.00</w:t>
            </w:r>
          </w:p>
        </w:tc>
        <w:tc>
          <w:p>
            <w:pPr>
              <w:pStyle w:val="Default"/>
              <w:jc w:val="right"/>
            </w:pPr>
            <w:r>
              <w:t xml:space="preserve">3,90,51,072.00</w:t>
            </w:r>
          </w:p>
        </w:tc>
        <w:tc>
          <w:p>
            <w:pPr>
              <w:pStyle w:val="Default"/>
              <w:jc w:val="right"/>
            </w:pPr>
            <w:r>
              <w:t xml:space="preserve">4,21,75,157.76</w:t>
            </w:r>
          </w:p>
        </w:tc>
      </w:tr>
    </w:tbl>
    <w:p>
      <w:pPr>
        <w:spacing w:before="200" w:after="200"/>
      </w:pPr>
      <w:r>
        <w:rPr>
          <w:b/>
          <w:bCs/>
        </w:rPr>
        <w:t xml:space="preserve">Revenue From Sales: </w:t>
      </w:r>
      <w:r>
        <w:t xml:space="preserve">3,10,00,000.00</w:t>
      </w:r>
    </w:p>
    <w:p>
      <w:pPr>
        <w:spacing w:after="150"/>
      </w:pPr>
      <w:r>
        <w:t xml:space="preserve">Also total revenue &amp; expense for firm during projection years will be as follows: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475569" w:color="475569" w:val="solid"/>
          </w:tcPr>
          <w:p>
            <w:pPr>
              <w:pStyle w:val="Default"/>
              <w:jc w:val="center"/>
            </w:pPr>
            <w:r>
              <w:rPr>
                <w:color w:val="FFFFFF"/>
              </w:rPr>
              <w:t xml:space="preserve">31/03/2027</w:t>
            </w:r>
          </w:p>
        </w:tc>
        <w:tc>
          <w:tcPr>
            <w:shd w:fill="475569" w:color="475569" w:val="solid"/>
          </w:tcPr>
          <w:p>
            <w:pPr>
              <w:pStyle w:val="Default"/>
              <w:jc w:val="center"/>
            </w:pPr>
            <w:r>
              <w:rPr>
                <w:color w:val="FFFFFF"/>
              </w:rPr>
              <w:t xml:space="preserve">31/03/2028</w:t>
            </w:r>
          </w:p>
        </w:tc>
        <w:tc>
          <w:tcPr>
            <w:shd w:fill="475569" w:color="475569" w:val="solid"/>
          </w:tcPr>
          <w:p>
            <w:pPr>
              <w:pStyle w:val="Default"/>
              <w:jc w:val="center"/>
            </w:pPr>
            <w:r>
              <w:rPr>
                <w:color w:val="FFFFFF"/>
              </w:rPr>
              <w:t xml:space="preserve">31/03/2029</w:t>
            </w:r>
          </w:p>
        </w:tc>
        <w:tc>
          <w:tcPr>
            <w:shd w:fill="475569" w:color="475569" w:val="solid"/>
          </w:tcPr>
          <w:p>
            <w:pPr>
              <w:pStyle w:val="Default"/>
              <w:jc w:val="center"/>
            </w:pPr>
            <w:r>
              <w:rPr>
                <w:color w:val="FFFFFF"/>
              </w:rPr>
              <w:t xml:space="preserve">31/03/2030</w:t>
            </w:r>
          </w:p>
        </w:tc>
        <w:tc>
          <w:tcPr>
            <w:shd w:fill="475569" w:color="475569" w:val="solid"/>
          </w:tcPr>
          <w:p>
            <w:pPr>
              <w:pStyle w:val="Default"/>
              <w:jc w:val="center"/>
            </w:pPr>
            <w:r>
              <w:rPr>
                <w:color w:val="FFFFFF"/>
              </w:rPr>
              <w:t xml:space="preserve">31/03/2031</w:t>
            </w:r>
          </w:p>
        </w:tc>
      </w:tr>
      <w:tr>
        <w:tc>
          <w:p>
            <w:pPr>
              <w:pStyle w:val="Default"/>
              <w:jc w:val="right"/>
            </w:pPr>
            <w:r>
              <w:t xml:space="preserve">1,59,61,337.42</w:t>
            </w:r>
          </w:p>
        </w:tc>
        <w:tc>
          <w:p>
            <w:pPr>
              <w:pStyle w:val="Default"/>
              <w:jc w:val="right"/>
            </w:pPr>
            <w:r>
              <w:t xml:space="preserve">1,63,84,127.08</w:t>
            </w:r>
          </w:p>
        </w:tc>
        <w:tc>
          <w:p>
            <w:pPr>
              <w:pStyle w:val="Default"/>
              <w:jc w:val="right"/>
            </w:pPr>
            <w:r>
              <w:t xml:space="preserve">1,68,85,731.58</w:t>
            </w:r>
          </w:p>
        </w:tc>
        <w:tc>
          <w:p>
            <w:pPr>
              <w:pStyle w:val="Default"/>
              <w:jc w:val="right"/>
            </w:pPr>
            <w:r>
              <w:t xml:space="preserve">1,74,91,771.43</w:t>
            </w:r>
          </w:p>
        </w:tc>
        <w:tc>
          <w:p>
            <w:pPr>
              <w:pStyle w:val="Default"/>
              <w:jc w:val="right"/>
            </w:pPr>
            <w:r>
              <w:t xml:space="preserve">1,82,00,381.17</w:t>
            </w:r>
          </w:p>
        </w:tc>
      </w:tr>
    </w:tbl>
    <w:p>
      <w:pPr>
        <w:spacing w:before="300" w:after="150"/>
      </w:pPr>
      <w:r>
        <w:rPr>
          <w:b/>
          <w:bCs/>
          <w:color w:val="FFFFFF"/>
          <w:sz w:val="28"/>
          <w:szCs w:val="28"/>
        </w:rPr>
        <w:t xml:space="preserve">Loan Assumptions</w:t>
      </w:r>
    </w:p>
    <w:p>
      <w:pPr>
        <w:pStyle w:val="ListParagraph"/>
        <w:numPr>
          <w:ilvl w:val="0"/>
          <w:numId w:val="1"/>
        </w:numPr>
        <w:spacing w:before="100"/>
      </w:pPr>
      <w:r>
        <w:t xml:space="preserve">Term Loan: Principal 1,18,80,000.00, Interest 9.5%, Duration 5 years</w:t>
      </w:r>
    </w:p>
    <w:p>
      <w:pPr>
        <w:pStyle w:val="ListParagraph"/>
        <w:numPr>
          <w:ilvl w:val="0"/>
          <w:numId w:val="1"/>
        </w:numPr>
        <w:spacing w:before="100"/>
      </w:pPr>
      <w:r>
        <w:t xml:space="preserve">Working Capital Loan: Principal 12,40,000.00, Interest 10%</w:t>
      </w:r>
    </w:p>
    <w:p>
      <w:pPr>
        <w:spacing w:before="300" w:after="150"/>
      </w:pPr>
      <w:r>
        <w:rPr>
          <w:b/>
          <w:bCs/>
        </w:rPr>
        <w:t xml:space="preserve">The depreciation is as follows:</w:t>
      </w:r>
    </w:p>
    <w:tbl>
      <w:tblPr>
        <w:tblW w:type="pct" w:w="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475569" w:color="475569" w:val="solid"/>
          </w:tcPr>
          <w:p>
            <w:pPr>
              <w:jc w:val="center"/>
            </w:pPr>
            <w:r>
              <w:rPr>
                <w:b/>
                <w:bCs/>
                <w:color w:val="FFFFFF"/>
              </w:rPr>
              <w:t xml:space="preserve">Particulars</w:t>
            </w:r>
          </w:p>
        </w:tc>
        <w:tc>
          <w:tcPr>
            <w:shd w:fill="475569" w:color="475569" w:val="solid"/>
          </w:tcPr>
          <w:p>
            <w:pPr>
              <w:jc w:val="center"/>
            </w:pPr>
            <w:r>
              <w:rPr>
                <w:b/>
                <w:bCs/>
                <w:color w:val="FFFFFF"/>
              </w:rPr>
              <w:t xml:space="preserve">Rate</w:t>
            </w:r>
          </w:p>
        </w:tc>
      </w:tr>
      <w:tr>
        <w:tc>
          <w:p>
            <w:r>
              <w:t xml:space="preserve">Building</w:t>
            </w:r>
          </w:p>
        </w:tc>
        <w:tc>
          <w:p>
            <w:pPr>
              <w:jc w:val="center"/>
            </w:pPr>
            <w:r>
              <w:t xml:space="preserve">10%</w:t>
            </w:r>
          </w:p>
        </w:tc>
      </w:tr>
      <w:tr>
        <w:tc>
          <w:p>
            <w:r>
              <w:t xml:space="preserve">Furniture &amp; Fixtures</w:t>
            </w:r>
          </w:p>
        </w:tc>
        <w:tc>
          <w:p>
            <w:pPr>
              <w:jc w:val="center"/>
            </w:pPr>
            <w:r>
              <w:t xml:space="preserve">10%</w:t>
            </w:r>
          </w:p>
        </w:tc>
      </w:tr>
      <w:tr>
        <w:tc>
          <w:p>
            <w:r>
              <w:t xml:space="preserve">Plant &amp; Machinery</w:t>
            </w:r>
          </w:p>
        </w:tc>
        <w:tc>
          <w:p>
            <w:pPr>
              <w:jc w:val="center"/>
            </w:pPr>
            <w:r>
              <w:t xml:space="preserve">15%</w:t>
            </w:r>
          </w:p>
        </w:tc>
      </w:tr>
      <w:tr>
        <w:tc>
          <w:p>
            <w:r>
              <w:t xml:space="preserve">Vehicles</w:t>
            </w:r>
          </w:p>
        </w:tc>
        <w:tc>
          <w:p>
            <w:pPr>
              <w:jc w:val="center"/>
            </w:pPr>
            <w:r>
              <w:t xml:space="preserve">15%</w:t>
            </w:r>
          </w:p>
        </w:tc>
      </w:tr>
    </w:tbl>
    <w:p>
      <w:pPr>
        <w:pStyle w:val="ListParagraph"/>
        <w:numPr>
          <w:ilvl w:val="0"/>
          <w:numId w:val="1"/>
        </w:numPr>
        <w:spacing w:before="100"/>
      </w:pPr>
      <w:r>
        <w:t xml:space="preserve">Cost of Machinery is based on direct purchase from the market on deepest study</w:t>
      </w:r>
    </w:p>
    <w:p>
      <w:pPr>
        <w:pStyle w:val="ListParagraph"/>
        <w:numPr>
          <w:ilvl w:val="0"/>
          <w:numId w:val="1"/>
        </w:numPr>
        <w:spacing w:before="100"/>
      </w:pPr>
      <w:r>
        <w:t xml:space="preserve">Value of raw materials &amp; utility charges as per the current market conditions</w:t>
      </w:r>
    </w:p>
    <w:p>
      <w:pPr>
        <w:pStyle w:val="ListParagraph"/>
        <w:numPr>
          <w:ilvl w:val="0"/>
          <w:numId w:val="1"/>
        </w:numPr>
        <w:spacing w:before="100"/>
      </w:pPr>
      <w:r>
        <w:t xml:space="preserve">All other assumptions are calculated based on the basis of experience of the promoter and deep study on the working of similar model</w:t>
      </w:r>
    </w:p>
    <w:p>
      <w:pPr>
        <w:spacing w:before="400" w:after="150"/>
      </w:pPr>
      <w:r>
        <w:rPr>
          <w:b/>
          <w:bCs/>
          <w:color w:val="FFFFFF"/>
          <w:sz w:val="28"/>
          <w:szCs w:val="28"/>
        </w:rPr>
        <w:t xml:space="preserve">Conclusion</w:t>
      </w:r>
    </w:p>
    <w:p>
      <w:pPr>
        <w:spacing w:after="120"/>
        <w:jc w:val="both"/>
      </w:pPr>
      <w:r>
        <w:t xml:space="preserve">When we take a close look at the Debt Service Coverage Ratio (DSCR), the avg: DSCR is </w:t>
      </w:r>
      <w:r>
        <w:rPr>
          <w:b/>
          <w:bCs/>
        </w:rPr>
        <w:t xml:space="preserve">2.90 : 1</w:t>
      </w:r>
      <w:r>
        <w:t xml:space="preserve">, which is at a higher proposition and proposes a stable venture.</w:t>
      </w:r>
    </w:p>
    <w:p>
      <w:pPr>
        <w:spacing w:after="120"/>
        <w:jc w:val="both"/>
      </w:pPr>
      <w:r>
        <w:t xml:space="preserve">The Profit and Loss shows a steady growth in profit throughout the year and the firm has a higher Current Ratio (average) of </w:t>
      </w:r>
      <w:r>
        <w:rPr>
          <w:b/>
          <w:bCs/>
        </w:rPr>
        <w:t xml:space="preserve">2.29</w:t>
      </w:r>
      <w:r>
        <w:t xml:space="preserve">, this shows the current assets and current liabilities are managed &amp; balanced well.</w:t>
      </w:r>
    </w:p>
    <w:sectPr>
      <w:footerReference w:type="default" r:id="rId6"/>
      <w:pgSz w:w="11906" w:h="16838" w:orient="portrait"/>
      <w:pgMar w:top="720" w:right="720" w:bottom="720" w:left="720" w:header="708" w:footer="708" w:gutter="0"/>
      <w:pgBorders w:display="allPages" w:offsetFrom="page" w:zOrder="front"/>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t xml:space="preserve">Page </w:t>
    </w:r>
    <w:r>
      <w:fldChar w:fldCharType="begin"/>
      <w:instrText xml:space="preserve">PAGE</w:instrText>
      <w:fldChar w:fldCharType="separate"/>
      <w:fldChar w:fldCharType="end"/>
    </w:r>
    <w: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uri="http://schemas.microsoft.com/office/word" w:name="compatibilityMode"/>
  </w:compat>
  <w:documentProtection w:edit="readOnly" w:enforcement="1" w:cryptProviderType="rsaFull" w:hash="1Tiy+Xa1a9R9o1lKk+q6xQ==" w:salt="U1VjTHBvQWZJbGZrZ3Z5aA==" w:cryptAlgorithmType="typeAES" w:cryptAlgorithmSid="14" w:cryptSpinCount="100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12pt"/>
        <w:szCs w:val="12pt"/>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rPr>
      <w:sz w:val="12pt"/>
      <w:szCs w:val="12pt"/>
      <w:rFonts w:ascii="Calibri" w:cs="Calibri" w:eastAsia="Calibri" w:hAnsi="Calibri"/>
    </w:rPr>
  </w:style>
  <w:style w:type="paragraph" w:styleId="Strong">
    <w:name w:val="Strong"/>
    <w:basedOn w:val="Normal"/>
    <w:rPr>
      <w:b/>
      <w:bCs/>
      <w:sz w:val="12pt"/>
      <w:szCs w:val="12pt"/>
      <w:rFonts w:ascii="Calibri" w:cs="Calibri" w:eastAsia="Calibri" w:hAnsi="Calibri"/>
    </w:rPr>
  </w:style>
  <w:style w:type="paragraph" w:styleId="TableHeaderStyle">
    <w:name w:val="Table Header Style"/>
    <w:basedOn w:val="Normal"/>
    <w:rPr>
      <w:b/>
      <w:bCs/>
      <w:sz w:val="10pt"/>
      <w:szCs w:val="10pt"/>
      <w:rFonts w:ascii="Calibri" w:cs="Calibri" w:eastAsia="Calibri" w:hAnsi="Calibri"/>
    </w:rPr>
  </w:style>
  <w:style w:type="paragraph" w:styleId="sectionHeading">
    <w:name w:val="Section Heading"/>
    <w:basedOn w:val="Normal"/>
    <w:pPr>
      <w:spacing w:before="240" w:after="120"/>
    </w:pPr>
    <w:rPr>
      <w:b/>
      <w:bCs/>
      <w:color w:val="475569"/>
      <w:sz w:val="14pt"/>
      <w:szCs w:val="14pt"/>
      <w:rFonts w:ascii="Calibri" w:cs="Calibri" w:eastAsia="Calibri" w:hAnsi="Calibri"/>
    </w:rPr>
  </w:style>
  <w:style w:type="paragraph" w:styleId="docTitle">
    <w:name w:val="Document Title"/>
    <w:basedOn w:val="Normal"/>
    <w:pPr>
      <w:spacing w:before="240" w:after="240"/>
    </w:pPr>
    <w:rPr>
      <w:b/>
      <w:bCs/>
      <w:color w:val="475569"/>
      <w:sz w:val="18pt"/>
      <w:szCs w:val="18pt"/>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wthbvwfunjeti9fnhmnv4.png"/><Relationship Id="rId8" Type="http://schemas.openxmlformats.org/officeDocument/2006/relationships/image" Target="media/ew4jfbxkw9tfwa4wmbpyg.png"/><Relationship Id="rId9" Type="http://schemas.openxmlformats.org/officeDocument/2006/relationships/image" Target="media/rx9t-inscrnf0zncfz7os.png"/><Relationship Id="rId10" Type="http://schemas.openxmlformats.org/officeDocument/2006/relationships/image" Target="media/zpqvn6cttnejyrjpkorfi.png"/><Relationship Id="rId11" Type="http://schemas.openxmlformats.org/officeDocument/2006/relationships/image" Target="media/iwegwla_obygziqtx9r5m.png"/><Relationship Id="rId12" Type="http://schemas.openxmlformats.org/officeDocument/2006/relationships/image" Target="media/ff79tkwt-jizaxndwzymf.png"/><Relationship Id="rId13" Type="http://schemas.openxmlformats.org/officeDocument/2006/relationships/image" Target="media/xb72srcytia8j7fhjotgo.png"/><Relationship Id="rId14" Type="http://schemas.openxmlformats.org/officeDocument/2006/relationships/image" Target="media/ejfomf9xakx-hpyc76vgf.png"/><Relationship Id="rId15" Type="http://schemas.openxmlformats.org/officeDocument/2006/relationships/image" Target="media/vth9zcctbvyc4tprht9y8.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2026-10-10T14:23:55.609Z</dcterms:created>
  <dcterms:modified xsi:type="dcterms:W3CDTF">2026-10-10T14:23:55.609Z</dcterms:modified>
</cp:coreProperties>
</file>

<file path=docProps/custom.xml><?xml version="1.0" encoding="utf-8"?>
<Properties xmlns="http://schemas.openxmlformats.org/officeDocument/2006/custom-properties" xmlns:vt="http://schemas.openxmlformats.org/officeDocument/2006/docPropsVTypes"/>
</file>