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pPr>
    </w:p>
    <w:p>
      <w:pPr>
        <w:spacing w:after="500"/>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2857500"/>
                    </a:xfrm>
                    <a:prstGeom prst="rect">
                      <a:avLst/>
                    </a:prstGeom>
                  </pic:spPr>
                </pic:pic>
              </a:graphicData>
            </a:graphic>
          </wp:inline>
        </w:drawing>
      </w:r>
    </w:p>
    <w:p>
      <w:pPr>
        <w:spacing w:after="1200" w:before="500"/>
        <w:jc w:val="center"/>
      </w:pPr>
      <w:r>
        <w:rPr>
          <w:b/>
          <w:bCs/>
          <w:sz w:val="48"/>
          <w:szCs w:val="48"/>
          <w:rFonts w:ascii="Arial" w:cs="Arial" w:eastAsia="Arial" w:hAnsi="Arial"/>
        </w:rPr>
        <w:t xml:space="preserve">PROJECT REPORT</w:t>
      </w:r>
    </w:p>
    <w:p>
      <w:pPr>
        <w:spacing w:after="1000" w:before="1000"/>
        <w:jc w:val="center"/>
      </w:pPr>
      <w:r>
        <w:rPr>
          <w:sz w:val="36"/>
          <w:szCs w:val="36"/>
          <w:rFonts w:ascii="Arial" w:cs="Arial" w:eastAsia="Arial" w:hAnsi="Arial"/>
        </w:rPr>
        <w:t xml:space="preserve">Of</w:t>
      </w:r>
    </w:p>
    <w:p>
      <w:pPr>
        <w:spacing w:after="300" w:before="0"/>
        <w:jc w:val="center"/>
      </w:pPr>
      <w:r>
        <w:rPr>
          <w:b/>
          <w:bCs/>
          <w:sz w:val="60"/>
          <w:szCs w:val="60"/>
          <w:rFonts w:ascii="Arial" w:cs="Arial" w:eastAsia="Arial" w:hAnsi="Arial"/>
        </w:rPr>
        <w:t xml:space="preserve">FINXORA AGRO FOODS PRIVATE LIMITED</w:t>
      </w:r>
    </w:p>
    <w:p>
      <w:pPr>
        <w:spacing w:before="50" w:after="50"/>
        <w:jc w:val="center"/>
      </w:pPr>
      <w:r>
        <w:rPr>
          <w:sz w:val="24"/>
          <w:szCs w:val="24"/>
          <w:rFonts w:ascii="Arial" w:cs="Arial" w:eastAsia="Arial" w:hAnsi="Arial"/>
        </w:rPr>
        <w:t xml:space="preserve">GST No.: 23AAACF0000A1Z5</w:t>
      </w:r>
    </w:p>
    <w:p>
      <w:pPr>
        <w:spacing w:before="50" w:after="50"/>
        <w:jc w:val="center"/>
      </w:pPr>
      <w:r>
        <w:rPr>
          <w:sz w:val="24"/>
          <w:szCs w:val="24"/>
          <w:rFonts w:ascii="Arial" w:cs="Arial" w:eastAsia="Arial" w:hAnsi="Arial"/>
        </w:rPr>
        <w:t xml:space="preserve">UDYAM No.: UDYAM-MP-00-0000000</w:t>
      </w:r>
    </w:p>
    <w:p>
      <w:pPr>
        <w:spacing w:before="150" w:after="150"/>
        <w:jc w:val="center"/>
      </w:pPr>
      <w:r>
        <w:rPr>
          <w:b/>
          <w:bCs/>
          <w:sz w:val="28"/>
          <w:szCs w:val="28"/>
          <w:rFonts w:ascii="Arial" w:cs="Arial" w:eastAsia="Arial" w:hAnsi="Arial"/>
        </w:rPr>
        <w:t xml:space="preserve">For Term Loan of 1,36,20,000.00 /- and CC of 29,70,000.00 /-</w:t>
      </w:r>
    </w:p>
    <w:p>
      <w:pPr>
        <w:spacing w:after="3300"/>
      </w:pPr>
    </w:p>
    <w:p>
      <w:pPr>
        <w:sectPr>
          <w:pgSz w:w="11906" w:h="16838" w:orient="portrait"/>
          <w:pgMar w:top="720" w:right="720" w:bottom="720" w:left="720" w:header="708" w:footer="708" w:gutter="0"/>
          <w:pgNumType/>
          <w:docGrid w:linePitch="360"/>
        </w:sectPr>
      </w:pPr>
    </w:p>
    <w:p>
      <w:pPr>
        <w:spacing w:after="300" w:before="200"/>
        <w:jc w:val="center"/>
      </w:pPr>
      <w:r>
        <w:rPr>
          <w:b/>
          <w:bCs/>
          <w:color w:val="475569"/>
          <w:sz w:val="18pt"/>
          <w:szCs w:val="18pt"/>
          <w:rFonts w:ascii="Calibri" w:cs="Calibri" w:eastAsia="Calibri" w:hAnsi="Calibri"/>
        </w:rPr>
        <w:t xml:space="preserve">INDEX</w:t>
      </w:r>
    </w:p>
    <w:sdt>
      <w:sdtPr>
        <w:alias w:val="Table of Contents"/>
      </w:sdtPr>
      <w:sdtContent>
        <w:p>
          <w:r>
            <w:fldChar w:fldCharType="begin" w:dirty="true"/>
            <w:instrText xml:space="preserve">TOC \h \t "docTitle,1,sectionHeading,1"</w:instrText>
            <w:fldChar w:fldCharType="separate"/>
          </w:r>
        </w:p>
        <w:p>
          <w:r>
            <w:fldChar w:fldCharType="end"/>
          </w:r>
        </w:p>
      </w:sdtContent>
    </w:sdt>
    <w:p>
      <w:r>
        <w:br w:type="page"/>
      </w:r>
    </w:p>
    <w:p>
      <w:pPr>
        <w:pStyle w:val="docTitle"/>
        <w:spacing w:after="300" w:before="200"/>
        <w:jc w:val="center"/>
      </w:pPr>
      <w:r>
        <w:t xml:space="preserve">COMPANY PROFILE</w:t>
      </w:r>
    </w:p>
    <w:p>
      <w:pPr>
        <w:pStyle w:val="sectionHeading"/>
        <w:spacing w:after="150" w:before="150"/>
        <w:jc w:val="left"/>
      </w:pPr>
      <w:r>
        <w:t xml:space="preserve">I. Company Information</w:t>
      </w:r>
    </w:p>
    <w:tbl>
      <w:tblPr>
        <w:tblW w:type="pct" w:w="85%"/>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Name of the Company/Firm</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FINXORA AGRO FOODS PRIVATE LIMITED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Director 1</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Director 2</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Neha Kapoor (Female,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Constitution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private_limited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Address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Plot 12, Industrial Area, Indore, Madhya Pradesh 452001</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PAN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AAACF0000A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Date of Incorporation/Birth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01-Apr-2026</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Industry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Rice mill and flour processing unit</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Type of Business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manufacturing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Business Starting Date</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01-Apr-2026</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Type of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TERM-LOAN Loan</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Father/Spouse/Guardian Name</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Dev Mehta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Marital Status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Married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Educational Qualification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Graduate with sector training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Profession/Occupation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Rice mill and flour processing unit</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Contact Number</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Email</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sample@finxora.com</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Aadhaar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0000 0000 0000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Business description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Rice mill and flour processing unit serving institutional and retail customers in Indore and neighbouring districts of Madhya Pradesh. Operations combine documented customer orders, supplier evaluation, quality checks and regular collection follow-up. Management reviews stock, receivables and cash flow monthly to maintain service standards and timely debt repayment.</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Incorporation / establishment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01-Apr-2026</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Bank and branch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 Indore Main Branch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Proposed facilities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Cash credit Rs. 29.7 lakh and term loan Rs. 151.2 lakh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Ownership / management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50% (director); Neha Kapoor: 50% (director)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Market and operations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Diversified local customers; documented orders; monthly stock and debtor review.</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Capital subsidy assumption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Rs. 15 lakh capital subsidy assumed after 36 months, reducing EMI; eligibility and release remain subject to approval. Repayment should be assessed without relying on timely subsidy receipt.</w:t>
            </w:r>
          </w:p>
        </w:tc>
      </w:tr>
    </w:tbl>
    <w:p>
      <w:pPr>
        <w:spacing w:after="150"/>
      </w:pPr>
    </w:p>
    <w:p>
      <w:pPr>
        <w:pStyle w:val="sectionHeading"/>
        <w:spacing w:after="150" w:before="150"/>
        <w:jc w:val="left"/>
      </w:pPr>
      <w:r>
        <w:t xml:space="preserve">II. Project &amp; Financial Overview</w:t>
      </w:r>
    </w:p>
    <w:tbl>
      <w:tblPr>
        <w:tblW w:type="pct" w:w="85%"/>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Report Period</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2026 - 2030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Currency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Amount In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Actual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Total Project Cost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3,09,70,000.00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1,51,20,000.00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TL Subsidy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15,00,000.00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(Net of Subsidy)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1,36,20,000.00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Duration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5 years</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9.5%</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Installment (monthly)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3,10,946.42</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Repayment Frequency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Monthly</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(CC/OD)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Working Capital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29,70,000.00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10%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 Contribution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1,28,80,000.00</w:t>
            </w:r>
          </w:p>
        </w:tc>
      </w:tr>
    </w:tbl>
    <w:p>
      <w:pPr>
        <w:spacing w:after="200"/>
      </w:pPr>
    </w:p>
    <w:p>
      <w:pPr>
        <w:pStyle w:val="sectionHeading"/>
        <w:spacing w:before="200" w:after="100"/>
      </w:pPr>
      <w:r>
        <w:t xml:space="preserve">III. Financial Indicators</w:t>
      </w:r>
    </w:p>
    <w:tbl>
      <w:tblPr>
        <w:tblW w:type="pct" w:w="85%"/>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000000" w:sz="1"/>
              <w:left w:val="single" w:color="000000" w:sz="1"/>
              <w:bottom w:val="single" w:color="000000" w:sz="1"/>
              <w:right w:val="single" w:color="000000" w:sz="1"/>
            </w:tcBorders>
            <w:shd w:fill="475569" w:color="475569" w:val="solid"/>
          </w:tcPr>
          <w:p>
            <w:r>
              <w:rPr>
                <w:b/>
                <w:bCs/>
                <w:color w:val="FFFFFF"/>
              </w:rPr>
              <w:t xml:space="preserve">Particulars</w:t>
            </w:r>
          </w:p>
        </w:tc>
        <w:tc>
          <w:tcPr>
            <w:tcW w:type="pct" w:w="50%"/>
            <w:tcBorders>
              <w:top w:val="single" w:color="000000" w:sz="1"/>
              <w:left w:val="single" w:color="000000" w:sz="1"/>
              <w:bottom w:val="single" w:color="000000" w:sz="1"/>
              <w:right w:val="single" w:color="000000" w:sz="1"/>
            </w:tcBorders>
            <w:shd w:fill="475569" w:color="475569" w:val="solid"/>
          </w:tcPr>
          <w:p>
            <w:pPr>
              <w:jc w:val="right"/>
            </w:pPr>
            <w:r>
              <w:rPr>
                <w:b/>
                <w:bCs/>
                <w:color w:val="FFFFFF"/>
              </w:rPr>
              <w:t xml:space="preserve">Value</w:t>
            </w:r>
          </w:p>
        </w:tc>
      </w:tr>
      <w:tr>
        <w:tc>
          <w:tcPr>
            <w:tcBorders>
              <w:top w:val="single" w:color="000000" w:sz="1"/>
              <w:left w:val="single" w:color="000000" w:sz="1"/>
              <w:bottom w:val="single" w:color="000000" w:sz="1"/>
              <w:right w:val="single" w:color="000000" w:sz="1"/>
            </w:tcBorders>
          </w:tcPr>
          <w:p>
            <w:r>
              <w:t xml:space="preserve">Average DSCR</w:t>
            </w:r>
          </w:p>
        </w:tc>
        <w:tc>
          <w:tcPr>
            <w:tcBorders>
              <w:top w:val="single" w:color="000000" w:sz="1"/>
              <w:left w:val="single" w:color="000000" w:sz="1"/>
              <w:bottom w:val="single" w:color="000000" w:sz="1"/>
              <w:right w:val="single" w:color="000000" w:sz="1"/>
            </w:tcBorders>
          </w:tcPr>
          <w:p>
            <w:pPr>
              <w:jc w:val="right"/>
            </w:pPr>
            <w:r>
              <w:t xml:space="preserve">2.64</w:t>
            </w:r>
          </w:p>
        </w:tc>
      </w:tr>
      <w:tr>
        <w:tc>
          <w:tcPr>
            <w:tcBorders>
              <w:top w:val="single" w:color="000000" w:sz="1"/>
              <w:left w:val="single" w:color="000000" w:sz="1"/>
              <w:bottom w:val="single" w:color="000000" w:sz="1"/>
              <w:right w:val="single" w:color="000000" w:sz="1"/>
            </w:tcBorders>
          </w:tcPr>
          <w:p>
            <w:r>
              <w:t xml:space="preserve">Average Current Ratio</w:t>
            </w:r>
          </w:p>
        </w:tc>
        <w:tc>
          <w:tcPr>
            <w:tcBorders>
              <w:top w:val="single" w:color="000000" w:sz="1"/>
              <w:left w:val="single" w:color="000000" w:sz="1"/>
              <w:bottom w:val="single" w:color="000000" w:sz="1"/>
              <w:right w:val="single" w:color="000000" w:sz="1"/>
            </w:tcBorders>
          </w:tcPr>
          <w:p>
            <w:pPr>
              <w:jc w:val="right"/>
            </w:pPr>
            <w:r>
              <w:t xml:space="preserve">1.98</w:t>
            </w:r>
          </w:p>
        </w:tc>
      </w:tr>
      <w:tr>
        <w:tc>
          <w:tcPr>
            <w:tcBorders>
              <w:top w:val="single" w:color="000000" w:sz="1"/>
              <w:left w:val="single" w:color="000000" w:sz="1"/>
              <w:bottom w:val="single" w:color="000000" w:sz="1"/>
              <w:right w:val="single" w:color="000000" w:sz="1"/>
            </w:tcBorders>
          </w:tcPr>
          <w:p>
            <w:r>
              <w:t xml:space="preserve">Debt-Equity Ratio (Year 1)</w:t>
            </w:r>
          </w:p>
        </w:tc>
        <w:tc>
          <w:tcPr>
            <w:tcBorders>
              <w:top w:val="single" w:color="000000" w:sz="1"/>
              <w:left w:val="single" w:color="000000" w:sz="1"/>
              <w:bottom w:val="single" w:color="000000" w:sz="1"/>
              <w:right w:val="single" w:color="000000" w:sz="1"/>
            </w:tcBorders>
          </w:tcPr>
          <w:p>
            <w:pPr>
              <w:jc w:val="right"/>
            </w:pPr>
            <w:r>
              <w:t xml:space="preserve">0.82</w:t>
            </w:r>
          </w:p>
        </w:tc>
      </w:tr>
      <w:tr>
        <w:tc>
          <w:tcPr>
            <w:tcBorders>
              <w:top w:val="single" w:color="000000" w:sz="1"/>
              <w:left w:val="single" w:color="000000" w:sz="1"/>
              <w:bottom w:val="single" w:color="000000" w:sz="1"/>
              <w:right w:val="single" w:color="000000" w:sz="1"/>
            </w:tcBorders>
          </w:tcPr>
          <w:p>
            <w:r>
              <w:t xml:space="preserve">Break-Even Point % (Year 1)</w:t>
            </w:r>
          </w:p>
        </w:tc>
        <w:tc>
          <w:tcPr>
            <w:tcBorders>
              <w:top w:val="single" w:color="000000" w:sz="1"/>
              <w:left w:val="single" w:color="000000" w:sz="1"/>
              <w:bottom w:val="single" w:color="000000" w:sz="1"/>
              <w:right w:val="single" w:color="000000" w:sz="1"/>
            </w:tcBorders>
          </w:tcPr>
          <w:p>
            <w:pPr>
              <w:jc w:val="right"/>
            </w:pPr>
            <w:r>
              <w:t xml:space="preserve">59.54%</w:t>
            </w:r>
          </w:p>
        </w:tc>
      </w:tr>
    </w:tbl>
    <w:p>
      <w:pPr>
        <w:spacing w:after="200"/>
      </w:pPr>
    </w:p>
    <w:p>
      <w:r>
        <w:br w:type="page"/>
      </w:r>
    </w:p>
    <w:p>
      <w:pPr>
        <w:pStyle w:val="sectionHeading"/>
        <w:spacing w:after="200"/>
        <w:jc w:val="center"/>
      </w:pPr>
      <w:r>
        <w:t xml:space="preserve">Ratio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Liquidity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Current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Quick Ratio (Acid Test)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0.74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Profitability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Gross Profit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Net Profit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9.25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12.15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EBDIT Margin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Return on Capital Employed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Return on Equity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24.78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22.66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18.88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Leverage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Debt-Equity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 to Total Assets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26.39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5.24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Interest Coverage Ratio (Times)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8.55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15.34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27.79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 Service Coverage Ratio (DSCR)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Solvency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Proprietary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0.45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0.55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0.65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0.76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0.83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Solvency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TOL / TNW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0.81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0.31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Fixed Asset Coverage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 / EBITDA (x)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0.92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Contribution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41.59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41.59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41.59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41.59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41.59</w:t>
            </w:r>
          </w:p>
        </w:tc>
      </w:tr>
    </w:tbl>
    <w:p>
      <w:pPr>
        <w:spacing w:after="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left w:val="none"/>
              <w:bottom w:val="none"/>
              <w:right w:val="none"/>
            </w:tcBorders>
            <w:vAlign w:val="top"/>
          </w:tcPr>
          <w:p>
            <w:pPr>
              <w:pStyle w:val="Heading4"/>
              <w:spacing w:before="200" w:after="100"/>
              <w:jc w:val="center"/>
            </w:pPr>
            <w:r>
              <w:t xml:space="preserve">Liquidity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Liquidity ratios monitor the firm's ability to settle short-term liabilities. The Current Ratio, starting at 1.28:1 and reaching 3.28:1 by the final year, indicates a healthy buffer of current assets. The Quick Ratio follows a similar positive trend, ensuring that the firm can meet its obligations even without relying on inventory liquidation.</w:t>
            </w:r>
          </w:p>
        </w:tc>
        <w:tc>
          <w:tcPr>
            <w:tcW w:type="pct" w:w="50%"/>
            <w:tcBorders>
              <w:top w:val="none"/>
              <w:left w:val="none"/>
              <w:bottom w:val="none"/>
              <w:right w:val="none"/>
            </w:tcBorders>
            <w:vAlign w:val="top"/>
          </w:tcPr>
          <w:p>
            <w:pPr>
              <w:pStyle w:val="Heading4"/>
              <w:spacing w:before="200" w:after="100"/>
              <w:jc w:val="center"/>
            </w:pPr>
            <w:r>
              <w:t xml:space="preserve">Profitability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Profitability ratios reflect the operational efficiency of the project. The Gross Profit margin begins at 26.24%, while the Net Profit margin starts at 7.86%. The consistency or growth in these margins over the years demonstrates the firm's capability to manage costs and generate returns for the stakeholders.</w:t>
            </w:r>
          </w:p>
        </w:tc>
      </w:tr>
      <w:tr>
        <w:tc>
          <w:tcPr>
            <w:tcW w:type="pct" w:w="50%"/>
            <w:tcBorders>
              <w:top w:val="none"/>
              <w:left w:val="none"/>
              <w:bottom w:val="none"/>
              <w:right w:val="none"/>
            </w:tcBorders>
            <w:vAlign w:val="top"/>
          </w:tcPr>
          <w:p>
            <w:pPr>
              <w:pStyle w:val="Heading4"/>
              <w:spacing w:before="200" w:after="100"/>
              <w:jc w:val="center"/>
            </w:pPr>
            <w:r>
              <w:t xml:space="preserve">Solvency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Solvency ratios provide a long-term perspective on the firm's health. They indicate the project's ability to sustain operations and meet long-term commitments, ensuring viability beyond the initial projection period.</w:t>
            </w:r>
          </w:p>
        </w:tc>
        <w:tc>
          <w:tcPr>
            <w:tcW w:type="pct" w:w="50%"/>
            <w:tcBorders>
              <w:top w:val="none"/>
              <w:left w:val="none"/>
              <w:bottom w:val="none"/>
              <w:right w:val="none"/>
            </w:tcBorders>
            <w:vAlign w:val="top"/>
          </w:tcPr>
          <w:p>
            <w:pPr>
              <w:pStyle w:val="Heading4"/>
              <w:spacing w:before="200" w:after="100"/>
              <w:jc w:val="center"/>
            </w:pPr>
            <w:r>
              <w:t xml:space="preserve">Leverage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Leverage ratios evaluate the project's capital structure and dependence on debt. The Debt-Equity ratio of 0.82:1 in the initial year shows the balance between borrowed funds and owner's equity. A stable or decreasing ratio over time typically indicates a lower risk profile and greater financial independence.</w:t>
            </w:r>
          </w:p>
        </w:tc>
      </w:tr>
      <w:tr>
        <w:tc>
          <w:tcPr>
            <w:tcW w:type="pct" w:w="50%"/>
            <w:tcBorders>
              <w:top w:val="none"/>
              <w:left w:val="none"/>
              <w:bottom w:val="none"/>
              <w:right w:val="none"/>
            </w:tcBorders>
            <w:vAlign w:val="top"/>
          </w:tcPr>
          <w:p>
            <w:pPr>
              <w:pStyle w:val="Heading4"/>
              <w:spacing w:before="200" w:after="100"/>
              <w:jc w:val="center"/>
            </w:pPr>
            <w:r>
              <w:t xml:space="preserve">Working Capital Turnover</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Efficiency ratios (Turnover Ratios) indicate how effectively the firm is utilizing its assets. High turnover figures suggest optimal inventory management and efficient use of working capital, resulting in better overall productivity.</w:t>
            </w:r>
          </w:p>
        </w:tc>
        <w:tc>
          <w:tcPr>
            <w:tcW w:type="pct" w:w="50%"/>
            <w:tcBorders>
              <w:top w:val="none"/>
              <w:left w:val="none"/>
              <w:bottom w:val="none"/>
              <w:right w:val="none"/>
            </w:tcBorders>
            <w:vAlign w:val="top"/>
          </w:tcPr>
          <w:p>
            <w:pPr>
              <w:pStyle w:val="Heading4"/>
              <w:spacing w:before="200" w:after="100"/>
              <w:jc w:val="center"/>
            </w:pPr>
            <w:r>
              <w:t xml:space="preserve">Efficiency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Efficiency ratios (Turnover Ratios) indicate how effectively the firm is utilizing its assets. High turnover figures suggest optimal inventory management and efficient use of working capital, resulting in better overall productivity.</w:t>
            </w:r>
          </w:p>
        </w:tc>
      </w:tr>
    </w:tbl>
    <w:p>
      <w:r>
        <w:br w:type="page"/>
      </w:r>
    </w:p>
    <w:p>
      <w:pPr>
        <w:pStyle w:val="sectionHeading"/>
        <w:spacing w:after="200"/>
        <w:jc w:val="center"/>
      </w:pPr>
      <w:r>
        <w:t xml:space="preserve">DSCR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Receipts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a).Net Profit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42,42,909.48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53,95,005.05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65,96,894.27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77,22,469.26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89,25,197.55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28,98,000.00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25,01,100.00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21,59,955.00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18,66,579.75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c).Interest on termloan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14,09,338.54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11,78,452.64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8,84,298.01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4,49,030.10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1,64,506.29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90,12,248.02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94,71,457.69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99,82,292.28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1,03,31,454.36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1,09,56,283.59</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Repayments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a).Loan Principal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13,80,011.16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29,40,567.27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32,32,411.47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45,01,823.09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32,99,746.78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b).Interest on termloan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14,09,338.54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11,78,452.64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8,84,298.01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4,49,030.10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1,64,506.29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27,89,349.70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41,19,019.91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41,16,709.48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49,50,853.19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34,64,253.07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DSCR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Average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2.64</w:t>
            </w:r>
          </w:p>
        </w:tc>
      </w:tr>
    </w:tbl>
    <w:p>
      <w:pPr>
        <w:spacing w:after="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left w:val="none"/>
              <w:bottom w:val="none"/>
              <w:right w:val="none"/>
            </w:tcBorders>
            <w:vAlign w:val="top"/>
          </w:tcPr>
          <w:p>
            <w:pPr>
              <w:pStyle w:val="Heading4"/>
              <w:spacing w:before="200" w:after="100"/>
              <w:jc w:val="center"/>
            </w:pPr>
            <w:r>
              <w:t xml:space="preserve">Dscr</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The Debt Service Coverage Ratio (DSCR) is a primary indicator of debt-repayment capacity. With an average DSCR of 2.64 over the 5-year period, the project demonstrates a strong ability to generate sufficient cash flows to meet both interest and principal obligations comfortably.</w:t>
            </w:r>
          </w:p>
        </w:tc>
        <w:tc>
          <w:tcPr>
            <w:tcW w:type="pct" w:w="50%"/>
            <w:tcBorders>
              <w:top w:val="none"/>
              <w:left w:val="none"/>
              <w:bottom w:val="none"/>
              <w:right w:val="none"/>
            </w:tcBorders>
            <w:vAlign w:val="top"/>
          </w:tcPr>
          <w:p>
            <w:pPr>
              <w:pStyle w:val="Heading4"/>
              <w:spacing w:before="200" w:after="100"/>
              <w:jc w:val="center"/>
            </w:pPr>
            <w:r>
              <w:t xml:space="preserve">Balance Sheet Strength</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The Balance Sheet Strength chart illustrates the growth of Total Assets and Tangible Net Worth (TNW) over the projection period. In FY 2026-27, Total Assets are projected at 3,77,77,388.15 alongside a Tangible Net Worth of 1,71,22,909.48. By FY 2030-31, these are expected to reach 5,66,91,640.05 and 4,72,62,475.61 respectively. This trend signifies a strengthening financial position and increasing equity cushion for the firm.</w:t>
            </w:r>
          </w:p>
        </w:tc>
      </w:tr>
    </w:tbl>
    <w:p>
      <w:r>
        <w:br w:type="page"/>
      </w:r>
    </w:p>
    <w:p>
      <w:pPr>
        <w:pStyle w:val="sectionHeading"/>
        <w:spacing w:after="200"/>
        <w:jc w:val="center"/>
      </w:pPr>
      <w:r>
        <w:t xml:space="preserve">Turnover Method of Lending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Turnover (Net Sales)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5,83,20,000.00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6,29,85,600.00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6,80,24,448.00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7,34,66,403.84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25.00% of (A)</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1,45,80,000.00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1,57,46,400.00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1,70,06,112.00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1,83,66,600.96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C. Margin Required at 5.00% of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27,00,000.00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29,16,000.00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31,49,280.00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34,01,222.40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36,73,320.19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 Margin (NWC)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27,00,291.72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57,42,048.86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81,29,851.93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1,35,28,167.44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2,14,95,534.99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E. (B - 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1,16,64,000.00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1,25,97,120.00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1,36,04,889.60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1,46,93,280.77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 (B - D)</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1,07,99,708.28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88,37,951.14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76,16,548.07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34,77,944.56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-31,28,934.03</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G. Permissible Bank Finance under Turnover Method (B - 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1,08,00,000.00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1,16,64,000.00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1,25,97,120.00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1,36,04,889.60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1,46,93,280.77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H. Proposed / Existing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 Drawing Power</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73,85,960.35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76,91,307.01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80,35,969.54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82,05,665.81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86,36,671.96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J. Excess Borrowing over Turnover Method Finance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bl>
    <w:p>
      <w:pPr>
        <w:spacing w:after="400"/>
      </w:pPr>
    </w:p>
    <w:p>
      <w:r>
        <w:br w:type="page"/>
      </w:r>
    </w:p>
    <w:p>
      <w:pPr>
        <w:pStyle w:val="sectionHeading"/>
        <w:spacing w:after="200"/>
        <w:jc w:val="center"/>
      </w:pPr>
      <w:r>
        <w:t xml:space="preserve">Maximum Permissible Bank Finance (MPBF)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FIRST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1,23,20,789.05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1,62,36,714.97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2,05,07,952.06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2,55,69,874.71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3,09,24,699.44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66,50,497.33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75,24,666.11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94,08,100.13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90,71,707.27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64,59,164.45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 Working Capital Gap</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56,70,291.72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87,12,048.86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1,10,99,851.93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1,64,98,167.44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2,44,65,534.99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Working Capital Gap)</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14,17,572.93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21,78,012.21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27,74,962.98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41,24,541.86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61,16,383.75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27,00,291.72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57,42,048.86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81,29,851.93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1,35,28,167.44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2,14,95,534.99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42,52,718.79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65,34,036.64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83,24,888.95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1,23,73,625.58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1,83,49,151.24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SECOND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1,23,20,789.05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1,62,36,714.97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2,05,07,952.06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2,55,69,874.71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3,09,24,699.44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66,50,497.33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75,24,666.11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94,08,100.13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90,71,707.27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64,59,164.45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 Working Capital Gap</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56,70,291.72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87,12,048.86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1,10,99,851.93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1,64,98,167.44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2,44,65,534.99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30,80,197.26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40,59,178.74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51,26,988.01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63,92,468.68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77,31,174.86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27,00,291.72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57,42,048.86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81,29,851.93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1,35,28,167.44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2,14,95,534.99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25,90,094.46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46,52,870.12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59,72,863.91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1,01,05,698.76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1,67,34,360.13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25,90,094.46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3,79,905.54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bl>
    <w:p>
      <w:pPr>
        <w:spacing w:after="400"/>
      </w:pPr>
    </w:p>
    <w:p>
      <w:r>
        <w:br w:type="page"/>
      </w:r>
    </w:p>
    <w:p>
      <w:pPr>
        <w:pStyle w:val="sectionHeading"/>
        <w:spacing w:after="200" w:before="400"/>
        <w:jc w:val="center"/>
      </w:pPr>
      <w:r>
        <w:t xml:space="preserve">Executive Summary</w:t>
      </w:r>
    </w:p>
    <w:p>
      <w:pPr>
        <w:pStyle w:val="Default"/>
        <w:spacing w:after="120"/>
        <w:jc w:val="both"/>
      </w:pPr>
      <w:r>
        <w:t xml:space="preserve">FINXORA AGRO FOODS PRIVATE LIMITED proposes to establish a rice mill and flour processing unit business in Indore, Madhya Pradesh. Commercial commencement is planned for 1 April 2026, with the investment and funding structure set out in the project schedules. The project processes paddy into rice and wheat into flour, with processed rice contributing 65% and wheat flour 35% of planned sales. The quantity-and-rate schedules use Rs. 50 per kg for rice and Rs. 40 per kg for flour. Paddy and wheat purchases are linked to the sales plan using recovery assumptions of 67% and 90% respectively, so physical procurement must be monitored alongside monetary turnover.</w:t>
      </w:r>
    </w:p>
    <w:p>
      <w:pPr>
        <w:pStyle w:val="Default"/>
        <w:spacing w:after="120"/>
        <w:jc w:val="both"/>
      </w:pPr>
      <w:r>
        <w:t xml:space="preserve">Indore's grain-trading network and demand for regularly graded staples offer access to trade and institutional buyers. Local procurement and shorter transport routes can support competitive delivered costs. The project seeks differentiation through consistent grades, dependable packing weights and timely replenishment rather than an unsupported premium selling-price assumption.</w:t>
      </w:r>
    </w:p>
    <w:p>
      <w:pPr>
        <w:pStyle w:val="Default"/>
        <w:spacing w:after="120"/>
        <w:jc w:val="both"/>
      </w:pPr>
      <w:r>
        <w:t xml:space="preserve">The funding schedule provides a total outlay of Rs. 309.70 lakh, promoter contribution of Rs. 128.80 lakh, term finance of Rs. 151.20 lakh and cash credit of Rs. 29.70 lakh. The term facility is modelled at 9.5% over five years with a six-month moratorium; working-capital interest is modelled at 10%. Security documentation and final repayment terms remain subject to the bank's appraisal and sanction. For the first reporting year, FY 2026-27, the computed schedules show sales of Rs. 540.00 lakh and net profit of Rs. 42.43 lakh. The first-year current ratio is 1.85 times and the arithmetic average of the annual DSCR values in the repayment schedule is 2.64 times. Final-year sales are Rs. 734.66 lakh with net profit of Rs. 89.25 lakh; these highlights reproduce the report's calculations rather than a separate earnings estimate.</w:t>
      </w:r>
    </w:p>
    <w:p>
      <w:pPr>
        <w:spacing w:after="200"/>
      </w:pPr>
    </w:p>
    <w:p>
      <w:pPr>
        <w:pStyle w:val="sectionHeading"/>
        <w:spacing w:after="200" w:before="400"/>
        <w:jc w:val="center"/>
      </w:pPr>
      <w:r>
        <w:t xml:space="preserve">Company Background</w:t>
      </w:r>
    </w:p>
    <w:p>
      <w:pPr>
        <w:pStyle w:val="Default"/>
        <w:spacing w:after="120"/>
        <w:jc w:val="both"/>
      </w:pPr>
      <w:r>
        <w:t xml:space="preserve">Aarav Mehta has fourteen years of grain procurement and milling operations experience. Neha Kapoor has nine years of experience in food-business accounts, supplier settlement and inventory administration. The directors intend to combine procurement knowledge with batch-level costing, appointing an experienced mill supervisor before commercial production begins.</w:t>
      </w:r>
    </w:p>
    <w:p>
      <w:pPr>
        <w:pStyle w:val="Default"/>
        <w:spacing w:after="120"/>
        <w:jc w:val="both"/>
      </w:pPr>
      <w:r>
        <w:t xml:space="preserve">The employment plan provides for twenty-four production, packing and handling employees and seven supervisory, sales and office staff. Machinery installation, electrical connections, storage arrangements and food-safety permissions are to be completed before commencement on 1 April 2026. Training and trial batches must establish recovery performance before production is scaled to the forecast level. Responsibilities should be supported by written authority limits for purchases, customer credit and payments. Bank reconciliations and statutory compliance are to be reviewed monthly, and changes in key personnel should be accompanied by a documented handover.</w:t>
      </w:r>
    </w:p>
    <w:p>
      <w:pPr>
        <w:pStyle w:val="Default"/>
        <w:spacing w:after="120"/>
        <w:jc w:val="both"/>
      </w:pPr>
      <w:r>
        <w:t xml:space="preserve">Raw grain is tested for moisture, foreign matter and infestation before acceptance. Milling and packing controls cover recovery, grading, net weight, hygiene and batch traceability. Customer complaints are linked to retained batch records, and storage practices include pest control and regular inspection to protect both quality and recoverable inventory value. The reporting plan calls for consistent accounting policies, periodic physical verification and management review of exceptions. Forecast growth is an operating target and should be measured against demonstrated execution rather than treated as an assured result.</w:t>
      </w:r>
    </w:p>
    <w:p>
      <w:pPr>
        <w:spacing w:after="200"/>
      </w:pPr>
    </w:p>
    <w:p>
      <w:pPr>
        <w:pStyle w:val="sectionHeading"/>
        <w:spacing w:after="200" w:before="400"/>
        <w:jc w:val="center"/>
      </w:pPr>
      <w:r>
        <w:t xml:space="preserve">Project Scope and Implementation</w:t>
      </w:r>
    </w:p>
    <w:p>
      <w:pPr>
        <w:pStyle w:val="Default"/>
        <w:spacing w:after="120"/>
        <w:jc w:val="both"/>
      </w:pPr>
      <w:r>
        <w:t xml:space="preserve">The planned unit at Plot 12, Industrial Area, Indore provides cleaning, milling, grading and packing facilities with segregated raw-grain and finished-product storage. Planned installed combined output capacity is 2,000 tonnes annually on a single-shift basis, leaving headroom over first-year quantities in the revenue schedule. Grain receipt, process loss and finished output are reconciled for each production batch.</w:t>
      </w:r>
    </w:p>
    <w:p>
      <w:pPr>
        <w:pStyle w:val="Default"/>
        <w:spacing w:after="120"/>
        <w:jc w:val="both"/>
      </w:pPr>
      <w:r>
        <w:t xml:space="preserve">The employment plan provides for twenty-four production, packing and handling employees and seven supervisory, sales and office staff. Machinery installation, electrical connections, storage arrangements and food-safety permissions are to be completed before commencement on 1 April 2026. Training and trial batches must establish recovery performance before production is scaled to the forecast level.</w:t>
      </w:r>
    </w:p>
    <w:p>
      <w:pPr>
        <w:pStyle w:val="Default"/>
        <w:spacing w:after="120"/>
        <w:jc w:val="both"/>
      </w:pPr>
      <w:r>
        <w:t xml:space="preserve">Implementation should proceed through premises readiness, equipment procurement, installation, trial operation and controlled commercial launch. Supplier specifications and service support should be checked before placing orders. Promoter margin is to be introduced in step with disbursement; the bank should verify end use against invoices and the agreed project budget. Any commissioning delay requires a revised sales ramp and repayment forecast before full utilisation of the facilities.</w:t>
      </w:r>
    </w:p>
    <w:p>
      <w:pPr>
        <w:spacing w:after="200"/>
      </w:pPr>
    </w:p>
    <w:p>
      <w:pPr>
        <w:pStyle w:val="sectionHeading"/>
        <w:spacing w:after="200" w:before="400"/>
        <w:jc w:val="center"/>
      </w:pPr>
      <w:r>
        <w:t xml:space="preserve">Operational Plan</w:t>
      </w:r>
    </w:p>
    <w:p>
      <w:pPr>
        <w:pStyle w:val="Default"/>
        <w:spacing w:after="120"/>
        <w:jc w:val="both"/>
      </w:pPr>
      <w:r>
        <w:t xml:space="preserve">The planned unit at Plot 12, Industrial Area, Indore provides cleaning, milling, grading and packing facilities with segregated raw-grain and finished-product storage. Planned installed combined output capacity is 2,000 tonnes annually on a single-shift basis, leaving headroom over first-year quantities in the revenue schedule. Grain receipt, process loss and finished output are reconciled for each production batch.</w:t>
      </w:r>
    </w:p>
    <w:p>
      <w:pPr>
        <w:pStyle w:val="Default"/>
        <w:spacing w:after="120"/>
        <w:jc w:val="both"/>
      </w:pPr>
      <w:r>
        <w:t xml:space="preserve">The employment plan provides for twenty-four production, packing and handling employees and seven supervisory, sales and office staff. Machinery installation, electrical connections, storage arrangements and food-safety permissions are to be completed before commencement on 1 April 2026. Training and trial batches must establish recovery performance before production is scaled to the forecast level.</w:t>
      </w:r>
    </w:p>
    <w:p>
      <w:pPr>
        <w:pStyle w:val="Default"/>
        <w:spacing w:after="120"/>
        <w:jc w:val="both"/>
      </w:pPr>
      <w:r>
        <w:t xml:space="preserve">The project processes paddy into rice and wheat into flour, with processed rice contributing 65% and wheat flour 35% of planned sales. The quantity-and-rate schedules use Rs. 50 per kg for rice and Rs. 40 per kg for flour. Paddy and wheat purchases are linked to the sales plan using recovery assumptions of 67% and 90% respectively, so physical procurement must be monitored alongside monetary turnover.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Market Analysis and Opportunity</w:t>
      </w:r>
    </w:p>
    <w:p>
      <w:pPr>
        <w:pStyle w:val="Default"/>
        <w:spacing w:after="120"/>
        <w:jc w:val="both"/>
      </w:pPr>
      <w:r>
        <w:t xml:space="preserve">The proposed customer groups are grain wholesalers, grocery distributors, local institutional kitchens and regional retailers. Bulk packs serve trade buyers while selected flour pack sizes support local retail distribution. The sales plan does not assume an exclusive offtake contract; initial orders and payment behaviour should establish repeat demand before additional credit is extended.</w:t>
      </w:r>
    </w:p>
    <w:p>
      <w:pPr>
        <w:pStyle w:val="Default"/>
        <w:spacing w:after="120"/>
        <w:jc w:val="both"/>
      </w:pPr>
      <w:r>
        <w:t xml:space="preserve">Indore's grain-trading network and demand for regularly graded staples offer access to trade and institutional buyers. Local procurement and shorter transport routes can support competitive delivered costs. The project seeks differentiation through consistent grades, dependable packing weights and timely replenishment rather than an unsupported premium selling-price assumption.</w:t>
      </w:r>
    </w:p>
    <w:p>
      <w:pPr>
        <w:pStyle w:val="Default"/>
        <w:spacing w:after="120"/>
        <w:jc w:val="both"/>
      </w:pPr>
      <w:r>
        <w:t xml:space="preserve">The forecast assumes disciplined expansion of existing product and service lines, supported by the annual growth and collection assumptions in the schedules. Local competition, customer bargaining power and input-cost changes require regular review of quotations. Before expanding into another territory or customer group, management should compare incremental gross contribution with delivery, staffing and credit costs and retain only business that supports the repayment plan.</w:t>
      </w:r>
    </w:p>
    <w:p>
      <w:pPr>
        <w:spacing w:after="200"/>
      </w:pPr>
    </w:p>
    <w:p>
      <w:pPr>
        <w:pStyle w:val="sectionHeading"/>
        <w:spacing w:after="200" w:before="400"/>
        <w:jc w:val="center"/>
      </w:pPr>
      <w:r>
        <w:t xml:space="preserve">Quality Assurance and Control</w:t>
      </w:r>
    </w:p>
    <w:p>
      <w:pPr>
        <w:pStyle w:val="Default"/>
        <w:spacing w:after="120"/>
        <w:jc w:val="both"/>
      </w:pPr>
      <w:r>
        <w:t xml:space="preserve">Raw grain is tested for moisture, foreign matter and infestation before acceptance. Milling and packing controls cover recovery, grading, net weight, hygiene and batch traceability. Customer complaints are linked to retained batch records, and storage practices include pest control and regular inspection to protect both quality and recoverable inventory value.</w:t>
      </w:r>
    </w:p>
    <w:p>
      <w:pPr>
        <w:pStyle w:val="Default"/>
        <w:spacing w:after="120"/>
        <w:jc w:val="both"/>
      </w:pPr>
      <w:r>
        <w:t xml:space="preserve">The planned unit at Plot 12, Industrial Area, Indore provides cleaning, milling, grading and packing facilities with segregated raw-grain and finished-product storage. Planned installed combined output capacity is 2,000 tonnes annually on a single-shift basis, leaving headroom over first-year quantities in the revenue schedule. Grain receipt, process loss and finished output are reconciled for each production batch. Operating records should link purchases or inputs to completed output and customer billing, allowing exceptions to be traced promptly. Responsibility for acceptance checks, stock custody and payment approval should be separated wherever staffing permits.</w:t>
      </w:r>
    </w:p>
    <w:p>
      <w:pPr>
        <w:pStyle w:val="Default"/>
        <w:spacing w:after="120"/>
        <w:jc w:val="both"/>
      </w:pPr>
      <w:r>
        <w:t xml:space="preserve">Management should retain supplier documents, maintenance records, customer complaints and corrective-action logs. Quality controls are intended to prevent avoidable returns and interruption as well as meet customer specifications. Periodic review of losses, rework and complaints should feed into costing and training; certifications or approvals should be claimed only after the applicable requirements have been met.</w:t>
      </w:r>
    </w:p>
    <w:p>
      <w:pPr>
        <w:spacing w:after="200"/>
      </w:pPr>
    </w:p>
    <w:p>
      <w:pPr>
        <w:pStyle w:val="sectionHeading"/>
        <w:spacing w:after="200" w:before="400"/>
        <w:jc w:val="center"/>
      </w:pPr>
      <w:r>
        <w:t xml:space="preserve">Risk Assessment and Mitigation</w:t>
      </w:r>
    </w:p>
    <w:p>
      <w:pPr>
        <w:pStyle w:val="Default"/>
        <w:spacing w:after="120"/>
        <w:jc w:val="both"/>
      </w:pPr>
      <w:r>
        <w:t xml:space="preserve">Seasonal grain prices, variable milling recovery and delayed plant commissioning can weaken cash accruals. Procurement is phased against production and sales commitments, with moisture and recovery tests informing purchase prices. Commissioning contingencies and supplier service support reduce start-up risk; the financing review should also test delayed subsidy receipt and slower initial sales.</w:t>
      </w:r>
    </w:p>
    <w:p>
      <w:pPr>
        <w:pStyle w:val="Default"/>
        <w:spacing w:after="120"/>
        <w:jc w:val="both"/>
      </w:pPr>
      <w:r>
        <w:t xml:space="preserve">Indore's grain-trading network and demand for regularly graded staples offer access to trade and institutional buyers. Local procurement and shorter transport routes can support competitive delivered costs. The project seeks differentiation through consistent grades, dependable packing weights and timely replenishment rather than an unsupported premium selling-price assumption. These strengths are balanced by the need to manage utilisation, cost discipline and collection performance. The projection should be stress-tested for lower sales, higher input prices and a longer collection cycle, with repayment reviewed against the resulting cash accruals rather than solely against the base-case margin.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Insurance, supplier continuity arrangements and timely statutory renewals should be reviewed annually. The bank should receive prompt explanations for material deviations from the sanctioned operating assumptions.</w:t>
      </w:r>
    </w:p>
    <w:p>
      <w:pPr>
        <w:spacing w:after="200"/>
      </w:pPr>
    </w:p>
    <w:p>
      <w:pPr>
        <w:pStyle w:val="sectionHeading"/>
        <w:spacing w:after="200" w:before="400"/>
        <w:jc w:val="center"/>
      </w:pPr>
      <w:r>
        <w:t xml:space="preserve">Financial Analysis</w:t>
      </w:r>
    </w:p>
    <w:p>
      <w:pPr>
        <w:pStyle w:val="Default"/>
        <w:spacing w:after="120"/>
        <w:jc w:val="both"/>
      </w:pPr>
      <w:r>
        <w:t xml:space="preserve">For the first reporting year, FY 2026-27, the computed schedules show sales of Rs. 540.00 lakh and net profit of Rs. 42.43 lakh. The first-year current ratio is 1.85 times and the arithmetic average of the annual DSCR values in the repayment schedule is 2.64 times. Final-year sales are Rs. 734.66 lakh with net profit of Rs. 89.25 lakh; these highlights reproduce the report's calculations rather than a separate earnings estimate.</w:t>
      </w:r>
    </w:p>
    <w:p>
      <w:pPr>
        <w:pStyle w:val="Default"/>
        <w:spacing w:after="120"/>
        <w:jc w:val="both"/>
      </w:pPr>
      <w:r>
        <w:t xml:space="preserve">The funding schedule provides a total outlay of Rs. 309.70 lakh, promoter contribution of Rs. 128.80 lakh, term finance of Rs. 151.20 lakh and cash credit of Rs. 29.70 lakh. The term facility is modelled at 9.5% over five years with a six-month moratorium; working-capital interest is modelled at 10%. Security documentation and final repayment terms remain subject to the bank's appraisal and sanction.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A Rs. 15.00 lakh capital subsidy is assumed after 36 months and applied to reduce EMI; eligibility and actual release must be verified, and delayed or absent receipt should be covered in the bank's sensitivity review.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Conclusion and Recommendations</w:t>
      </w:r>
    </w:p>
    <w:p>
      <w:pPr>
        <w:pStyle w:val="Default"/>
        <w:spacing w:after="120"/>
        <w:jc w:val="both"/>
      </w:pPr>
      <w:r>
        <w:t xml:space="preserve">FINXORA AGRO FOODS PRIVATE LIMITED's proposal connects rice mill and flour processing unit activity with an identified operating plan, a defined promoter contribution and scheduled bank finance. Indore's grain-trading network and demand for regularly graded staples offer access to trade and institutional buyers. Local procurement and shorter transport routes can support competitive delivered costs. The project seeks differentiation through consistent grades, dependable packing weights and timely replenishment rather than an unsupported premium selling-price assumption. The computed liquidity and debt-service indicators support consideration of the proposal under the stated assumptions; they should be read with the detailed operating, balance-sheet and repayment schedules.</w:t>
      </w:r>
    </w:p>
    <w:p>
      <w:pPr>
        <w:pStyle w:val="Default"/>
        <w:spacing w:after="120"/>
        <w:jc w:val="both"/>
      </w:pPr>
      <w:r>
        <w:t xml:space="preserve">Seasonal grain prices, variable milling recovery and delayed plant commissioning can weaken cash accruals. Procurement is phased against production and sales commitments, with moisture and recovery tests informing purchase prices. Commissioning contingencies and supplier service support reduce start-up risk; the financing review should also test delayed subsidy receipt and slower initial sales. Prior to sanction or renewal, the bank should examine promoter contribution, premises arrangements, equipment quotations, customer demand, statutory permissions and the proposed security. Disbursement should follow documented end use and completion of the agreed conditions.</w:t>
      </w:r>
    </w:p>
    <w:p>
      <w:pPr>
        <w:pStyle w:val="Default"/>
        <w:spacing w:after="120"/>
        <w:jc w:val="both"/>
      </w:pPr>
      <w:r>
        <w:t xml:space="preserve">Management should provide periodic stock, debtor and operating statements and discuss material deviations with the lender. Expansion should remain within demonstrated operational capacity and available working capital. This assessment is conditional on execution of the operating plan and timely collections; it does not constitute a guarantee of sanction, future profit or uninterrupted debt service.</w:t>
      </w:r>
    </w:p>
    <w:p>
      <w:pPr>
        <w:pStyle w:val="Default"/>
        <w:spacing w:after="120"/>
        <w:jc w:val="both"/>
      </w:pPr>
      <w:r>
        <w:t xml:space="preserve">This is a sample report prepared with Finxora; the business and its figures are illustrative.</w:t>
      </w:r>
    </w:p>
    <w:p>
      <w:pPr>
        <w:spacing w:after="200"/>
      </w:pPr>
    </w:p>
    <w:p>
      <w:r>
        <w:br w:type="page"/>
      </w:r>
    </w:p>
    <w:p>
      <w:pPr>
        <w:pStyle w:val="sectionHeading"/>
        <w:spacing w:after="200"/>
        <w:jc w:val="center"/>
      </w:pPr>
      <w:r>
        <w:t xml:space="preserve">Sales &amp; Purchase Breakdown</w:t>
      </w:r>
    </w:p>
    <w:p>
      <w:pPr>
        <w:spacing w:before="200" w:after="100"/>
      </w:pPr>
      <w:r>
        <w:rPr>
          <w:b/>
          <w:bCs/>
          <w:color w:val="000000"/>
          <w:sz w:val="24"/>
          <w:szCs w:val="24"/>
        </w:rPr>
        <w:t xml:space="preserve">Sales</w:t>
      </w:r>
    </w:p>
    <w:p>
      <w:pPr>
        <w:spacing w:before="160" w:after="80"/>
      </w:pPr>
      <w:r>
        <w:rPr>
          <w:b/>
          <w:bCs/>
          <w:i/>
          <w:iCs/>
          <w:color w:val="000000"/>
          <w:sz w:val="20"/>
          <w:szCs w:val="20"/>
        </w:rPr>
        <w:t xml:space="preserve">Sales - Monthly Bifurcation (Quantity x Rate)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40%"/>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Quantity</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Rate</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45,00,000.00</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Processed rice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58,500.00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50.00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29,25,000.00</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 flour</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39,375.00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40.00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15,75,000.00</w:t>
            </w:r>
          </w:p>
        </w:tc>
      </w:tr>
      <w:tr>
        <w:tc>
          <w:tcPr>
            <w:tcW w:type="pct" w:w="40%"/>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90,00,000.00</w:t>
            </w:r>
          </w:p>
        </w:tc>
      </w:tr>
    </w:tbl>
    <w:p>
      <w:pPr>
        <w:spacing w:before="160" w:after="80"/>
      </w:pPr>
      <w:r>
        <w:rPr>
          <w:b/>
          <w:bCs/>
          <w:i/>
          <w:iCs/>
          <w:color w:val="000000"/>
          <w:sz w:val="20"/>
          <w:szCs w:val="20"/>
        </w:rPr>
        <w:t xml:space="preserve">Sales - Yearly Projection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45,00,000.00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5,40,00,000.00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Processed rice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58,500.00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7,02,000.00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29,25,000.00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3,51,00,000.00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 flour</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39,375.00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4,72,500.00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15,75,000.00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1,89,00,000.00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90,00,000.00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10,80,00,000.00</w:t>
            </w:r>
          </w:p>
        </w:tc>
      </w:tr>
    </w:tbl>
    <w:p>
      <w:pPr>
        <w:spacing w:before="160" w:after="80"/>
      </w:pPr>
      <w:r>
        <w:rPr>
          <w:b/>
          <w:bCs/>
          <w:i/>
          <w:iCs/>
          <w:color w:val="000000"/>
          <w:sz w:val="20"/>
          <w:szCs w:val="20"/>
        </w:rPr>
        <w:t xml:space="preserve">Sales - Yearly Projection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48,60,000.00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5,83,20,000.00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Processed rice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73,125.00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8,77,500.00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36,56,250.00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4,38,75,000.00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 flour</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49,218.75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5,90,625.00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19,68,750.00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2,36,25,000.00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1,04,85,000.00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12,58,20,000.00</w:t>
            </w:r>
          </w:p>
        </w:tc>
      </w:tr>
    </w:tbl>
    <w:p>
      <w:pPr>
        <w:spacing w:before="160" w:after="80"/>
      </w:pPr>
      <w:r>
        <w:rPr>
          <w:b/>
          <w:bCs/>
          <w:i/>
          <w:iCs/>
          <w:color w:val="000000"/>
          <w:sz w:val="20"/>
          <w:szCs w:val="20"/>
        </w:rPr>
        <w:t xml:space="preserve">Sales - Yearly Projection (Year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52,48,800.00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6,29,85,600.00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Processed rice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91,406.25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10,96,875.00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45,70,312.50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5,48,43,750.00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 flour</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61,523.44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7,38,281.25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24,60,937.50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2,95,31,250.00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1,22,80,050.00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14,73,60,600.00</w:t>
            </w:r>
          </w:p>
        </w:tc>
      </w:tr>
    </w:tbl>
    <w:p>
      <w:pPr>
        <w:spacing w:before="160" w:after="80"/>
      </w:pPr>
      <w:r>
        <w:rPr>
          <w:b/>
          <w:bCs/>
          <w:i/>
          <w:iCs/>
          <w:color w:val="000000"/>
          <w:sz w:val="20"/>
          <w:szCs w:val="20"/>
        </w:rPr>
        <w:t xml:space="preserve">Sales - Yearly Projection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56,68,704.00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6,80,24,448.00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Processed rice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1,14,257.81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13,71,093.75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57,12,890.63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6,85,54,687.50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 flour</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76,904.30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9,22,851.56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30,76,171.88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3,69,14,062.50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1,44,57,766.50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17,34,93,198.00</w:t>
            </w:r>
          </w:p>
        </w:tc>
      </w:tr>
    </w:tbl>
    <w:p>
      <w:pPr>
        <w:spacing w:before="160" w:after="80"/>
      </w:pPr>
      <w:r>
        <w:rPr>
          <w:b/>
          <w:bCs/>
          <w:i/>
          <w:iCs/>
          <w:color w:val="000000"/>
          <w:sz w:val="20"/>
          <w:szCs w:val="20"/>
        </w:rPr>
        <w:t xml:space="preserve">Sales - Yearly Projection (Year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61,22,200.32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7,34,66,403.84</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Processed rice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1,42,822.27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17,13,867.19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71,41,113.28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8,56,93,359.38</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 flour</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96,130.37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11,53,564.45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38,45,214.84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4,61,42,578.13</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1,71,08,528.45</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20,53,02,341.34</w:t>
            </w:r>
          </w:p>
        </w:tc>
      </w:tr>
    </w:tbl>
    <w:p>
      <w:pPr>
        <w:spacing w:before="200" w:after="100"/>
      </w:pPr>
      <w:r>
        <w:rPr>
          <w:b/>
          <w:bCs/>
          <w:color w:val="000000"/>
          <w:sz w:val="24"/>
          <w:szCs w:val="24"/>
        </w:rPr>
        <w:t xml:space="preserve">Purchase</w:t>
      </w:r>
    </w:p>
    <w:p>
      <w:pPr>
        <w:spacing w:before="160" w:after="80"/>
      </w:pPr>
      <w:r>
        <w:rPr>
          <w:b/>
          <w:bCs/>
          <w:i/>
          <w:iCs/>
          <w:color w:val="000000"/>
          <w:sz w:val="20"/>
          <w:szCs w:val="20"/>
        </w:rPr>
        <w:t xml:space="preserve">Purchase - Monthly Bifurcation (Quantity x Rate)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40%"/>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Quantity</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Rate</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31,31,506.85</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Paddy (for Processed rice @ 67% recovery)</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87,313.43</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23.31</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20,35,479.45</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 (for Wheat flour @ 90% recovery)</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43,750.00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25.05</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10,96,027.40</w:t>
            </w:r>
          </w:p>
        </w:tc>
      </w:tr>
      <w:tr>
        <w:tc>
          <w:tcPr>
            <w:tcW w:type="pct" w:w="40%"/>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62,63,013.70</w:t>
            </w:r>
          </w:p>
        </w:tc>
      </w:tr>
    </w:tbl>
    <w:p>
      <w:pPr>
        <w:spacing w:before="160" w:after="80"/>
      </w:pPr>
      <w:r>
        <w:rPr>
          <w:b/>
          <w:bCs/>
          <w:i/>
          <w:iCs/>
          <w:color w:val="000000"/>
          <w:sz w:val="20"/>
          <w:szCs w:val="20"/>
        </w:rPr>
        <w:t xml:space="preserve">Purchase - Yearly Projection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31,31,506.85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3,75,78,082.19</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Paddy</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87,313.43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10,47,761.19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20,35,479.45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2,44,25,753.40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43,750.00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5,25,000.00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10,96,027.40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1,31,52,328.80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62,63,013.70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7,51,56,164.39</w:t>
            </w:r>
          </w:p>
        </w:tc>
      </w:tr>
    </w:tbl>
    <w:p>
      <w:pPr>
        <w:spacing w:before="160" w:after="80"/>
      </w:pPr>
      <w:r>
        <w:rPr>
          <w:b/>
          <w:bCs/>
          <w:i/>
          <w:iCs/>
          <w:color w:val="000000"/>
          <w:sz w:val="20"/>
          <w:szCs w:val="20"/>
        </w:rPr>
        <w:t xml:space="preserve">Purchase - Yearly Projection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29,50,520.55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3,54,06,246.58</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Paddy</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1,00,410.45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12,04,925.37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23,40,801.37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2,80,89,616.41</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50,312.50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6,03,750.00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12,60,431.51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1,51,25,178.12</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65,51,753.43</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7,86,21,041.11</w:t>
            </w:r>
          </w:p>
        </w:tc>
      </w:tr>
    </w:tbl>
    <w:p>
      <w:pPr>
        <w:spacing w:before="160" w:after="80"/>
      </w:pPr>
      <w:r>
        <w:rPr>
          <w:b/>
          <w:bCs/>
          <w:i/>
          <w:iCs/>
          <w:color w:val="000000"/>
          <w:sz w:val="20"/>
          <w:szCs w:val="20"/>
        </w:rPr>
        <w:t xml:space="preserve">Purchase - Yearly Projection (Year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31,86,562.19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3,82,38,746.30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Paddy</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1,15,472.01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13,85,664.18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26,91,921.57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3,23,03,058.87</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57,859.38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6,94,312.50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14,49,496.24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1,73,93,954.84</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73,27,980.00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8,79,35,760.01</w:t>
            </w:r>
          </w:p>
        </w:tc>
      </w:tr>
    </w:tbl>
    <w:p>
      <w:pPr>
        <w:spacing w:before="160" w:after="80"/>
      </w:pPr>
      <w:r>
        <w:rPr>
          <w:b/>
          <w:bCs/>
          <w:i/>
          <w:iCs/>
          <w:color w:val="000000"/>
          <w:sz w:val="20"/>
          <w:szCs w:val="20"/>
        </w:rPr>
        <w:t xml:space="preserve">Purchase - Yearly Projection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34,41,487.17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4,12,97,846.01</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Paddy</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1,32,792.82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15,93,513.80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30,95,709.81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3,71,48,517.70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66,538.28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7,98,459.38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16,66,920.67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2,00,03,048.06</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82,04,117.65</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9,84,49,411.78</w:t>
            </w:r>
          </w:p>
        </w:tc>
      </w:tr>
    </w:tbl>
    <w:p>
      <w:pPr>
        <w:spacing w:before="160" w:after="80"/>
      </w:pPr>
      <w:r>
        <w:rPr>
          <w:b/>
          <w:bCs/>
          <w:i/>
          <w:iCs/>
          <w:color w:val="000000"/>
          <w:sz w:val="20"/>
          <w:szCs w:val="20"/>
        </w:rPr>
        <w:t xml:space="preserve">Purchase - Yearly Projection (Year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37,16,806.14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4,46,01,673.69</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Paddy</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1,52,711.74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18,32,540.88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35,60,066.28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4,27,20,795.36</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Wheat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kg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76,519.02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9,18,228.28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19,16,958.77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2,30,03,505.27</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91,93,831.19</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11,03,25,974.32</w:t>
            </w:r>
          </w:p>
        </w:tc>
      </w:tr>
    </w:tbl>
    <w:p>
      <w:r>
        <w:br w:type="page"/>
      </w:r>
    </w:p>
    <w:p>
      <w:pPr>
        <w:pStyle w:val="sectionHeading"/>
        <w:spacing w:after="200"/>
        <w:jc w:val="center"/>
      </w:pPr>
      <w:r>
        <w:t xml:space="preserve">Revenue &amp; expenses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60"/>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Monthly Amount</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Sales &amp; Revenue</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Processed rice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29,25,000.00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Wheat flour</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15,75,000.00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Sales Revenue</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45,00,000.00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Purchases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Paddy</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20,35,479.45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Wheat</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10,96,027.40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Purchases</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31,31,506.85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Administrative Expenses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Salaries &amp; Wages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Rent</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43,200.00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Utilities (Electricity, Water, etc.)</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28,800.00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Office Supplies &amp; Stationery</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Communication (Phone, Internet)</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Travel &amp; Conveyance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Professional Fees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14,400.00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Insurance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14,400.00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Repairs &amp; Maintenance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Bank Charges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Administrative Expenses</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2,80,800.00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Selling &amp; Distribution Expenses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Advertising &amp; Marketing</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Freight &amp; Transportation</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Other Direct Expenses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Power &amp; Fuel</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Production wages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3,15,000.00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Factory overheads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Selling &amp; Distribution Expenses</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6,19,200.00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Closing Stock</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Closing Stock Value (yearly)</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51,78,082.19</w:t>
            </w:r>
          </w:p>
        </w:tc>
      </w:tr>
    </w:tbl>
    <w:p>
      <w:pPr>
        <w:spacing w:after="400"/>
      </w:pPr>
    </w:p>
    <w:p>
      <w:r>
        <w:br w:type="page"/>
      </w:r>
    </w:p>
    <w:p>
      <w:pPr>
        <w:pStyle w:val="sectionHeading"/>
        <w:spacing w:after="200"/>
        <w:jc w:val="center"/>
      </w:pPr>
      <w:r>
        <w:t xml:space="preserve">Profit &amp; Loss Account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SALES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Manufactured product sales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5,83,20,000.00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6,29,85,600.00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6,80,24,448.00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7,34,66,403.84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5,40,00,000.00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5,83,20,000.00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6,29,85,600.00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6,80,24,448.00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7,34,66,403.84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Closing Stock</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51,78,082.19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55,92,328.77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60,39,715.07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65,22,892.27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70,44,723.66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Opening Stock</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51,78,082.19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55,92,328.77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60,39,715.07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65,22,892.27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PURCHASES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Raw material purchases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3,75,78,082.19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3,54,06,246.58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3,82,38,746.30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4,12,97,846.01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4,46,01,673.69</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Purchases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3,75,78,082.19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3,54,06,246.58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3,82,38,746.30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4,12,97,846.01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4,46,01,673.69</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Advertising &amp; Marketing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4,32,000.00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4,66,560.00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5,03,884.80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5,44,195.58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5,87,731.23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Freight &amp; Transportation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4,32,000.00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4,66,560.00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5,03,884.80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5,44,195.58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5,87,731.23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86,400.00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93,312.00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1,00,776.96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1,08,839.12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1,17,546.25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Power &amp; Fuel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17,49,600.00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18,89,568.00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20,40,733.44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22,03,992.12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Production wages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40,82,400.00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44,08,992.00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47,61,711.36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51,42,648.27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Factory overheads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11,66,400.00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12,59,712.00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13,60,488.96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14,69,328.08</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Direct Expenses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74,30,400.00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80,24,832.00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86,66,818.56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93,60,164.04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1,01,08,977.18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GROSS PROFIT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1,41,69,600.00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1,53,03,168.00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1,65,27,421.44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1,78,49,615.15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1,92,77,584.36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INDIRECT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Salaries &amp; Wages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12,96,000.00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13,99,680.00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15,11,654.40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16,32,586.75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17,63,193.69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Rent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5,18,400.00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5,59,872.00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6,04,661.76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6,53,034.70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7,05,277.48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Utilities (Electricity, Water, etc.)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3,45,600.00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3,73,248.00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4,03,107.84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4,35,356.47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4,70,184.98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Office Supplies &amp; Stationery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1,39,968.00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1,51,165.44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1,63,258.68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1,76,319.37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Communication (Phone, Internet)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1,39,968.00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1,51,165.44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1,63,258.68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1,76,319.37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Travel &amp; Conveyance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2,59,200.00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2,79,936.00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3,02,330.88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3,26,517.35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3,52,638.74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Professional Fees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1,72,800.00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1,86,624.00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2,01,553.92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2,17,678.23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2,35,092.49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Insurance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1,72,800.00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1,86,624.00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2,01,553.92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2,17,678.23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2,35,092.49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Repairs &amp; Maintenance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2,59,200.00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2,79,936.00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3,02,330.88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3,26,517.35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3,52,638.74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Bank Charges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86,400.00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93,312.00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1,00,776.96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1,08,839.12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1,17,546.25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28,98,000.00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25,01,100.00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21,59,955.00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18,66,579.75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Interest on WCL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Interest on TL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14,09,338.54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11,78,452.64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8,84,298.01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4,49,030.10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1,64,506.29</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Indirect Expenses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84,35,938.54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80,12,620.64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76,12,699.45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71,50,710.66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69,12,389.64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EBDIT (PBDIT)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1,16,64,000.00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1,25,97,120.00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1,36,04,889.59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1,46,93,280.76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Profit Before Tax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57,33,661.46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72,90,547.36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89,14,721.99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1,06,98,904.49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1,23,65,194.72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Provision for Income Tax</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14,90,751.98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18,95,542.31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23,17,827.72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29,76,435.23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34,39,997.17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NET PROFIT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42,42,909.48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53,95,005.05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65,96,894.27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77,22,469.26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89,25,197.55</w:t>
            </w:r>
          </w:p>
        </w:tc>
      </w:tr>
    </w:tbl>
    <w:p>
      <w:pPr>
        <w:spacing w:after="400"/>
      </w:pPr>
    </w:p>
    <w:p>
      <w:r>
        <w:br w:type="page"/>
      </w:r>
    </w:p>
    <w:p>
      <w:pPr>
        <w:pStyle w:val="sectionHeading"/>
        <w:spacing w:after="200"/>
        <w:jc w:val="center"/>
      </w:pPr>
      <w:r>
        <w:t xml:space="preserve">Cash Flow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Cash Inflow</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Subsidy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Termloan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1,51,20,000.00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Working Capital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37,09,930.06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5,82,324.58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6,14,022.40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8,65,683.45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6,87,203.96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Non-Current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Non-Term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Other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Investments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Profit before tax with interest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74,40,000.00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87,66,000.00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1,00,96,020.00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1,14,44,934.59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1,28,26,701.01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28,98,000.00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25,01,100.00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21,59,955.00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18,66,579.75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Cash Inflow</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4,54,79,930.06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1,22,46,324.58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1,32,11,142.40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1,59,70,573.04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1,53,80,484.72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Cash Outflow</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Fixed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1,10,95,890.41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8,87,671.24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9,58,684.93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10,35,379.72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11,18,210.11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8,16,599.10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20,18,836.44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22,08,368.11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26,84,361.96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28,24,409.75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Investments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TL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14,09,338.54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11,78,452.64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8,84,298.01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4,49,030.10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1,64,506.29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WCL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Term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11,45,451.39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29,40,567.27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32,32,411.47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45,01,823.09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32,99,746.78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Working Capital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Drawing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Provision for Income Tax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14,90,751.98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18,95,542.31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23,17,827.72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29,76,435.23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34,39,997.17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Non-Current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Other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Non-Term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Cash Outflow</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4,42,55,031.42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92,18,069.90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98,98,590.24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1,19,44,030.10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1,11,43,870.10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Opening balance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12,24,898.64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42,53,153.32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75,65,705.48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1,15,92,248.41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Net Cashflow</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12,24,898.64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30,28,254.68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33,12,552.16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40,26,542.93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42,36,614.62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Closing balance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12,24,898.64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42,53,153.32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75,65,705.48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1,15,92,248.41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1,58,28,863.03</w:t>
            </w:r>
          </w:p>
        </w:tc>
      </w:tr>
    </w:tbl>
    <w:p>
      <w:pPr>
        <w:spacing w:after="400"/>
      </w:pPr>
    </w:p>
    <w:p>
      <w:r>
        <w:br w:type="page"/>
      </w:r>
    </w:p>
    <w:p>
      <w:pPr>
        <w:pStyle w:val="sectionHeading"/>
        <w:spacing w:after="200"/>
        <w:jc w:val="center"/>
      </w:pPr>
      <w:r>
        <w:t xml:space="preserve">Balance Sheet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CAPITAL ACCOUNT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1,43,80,000.00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Subsidy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Accumulated Reserves &amp; Surplus (Opening)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42,42,909.48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96,37,914.53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1,62,34,808.80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2,39,57,278.06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Profit &amp; Loss A/c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42,42,909.48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53,95,005.05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65,96,894.27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77,22,469.26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89,25,197.55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NET WORTH</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1,71,22,909.48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2,25,17,914.53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2,91,14,808.80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3,83,37,278.06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4,72,62,475.61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LOAN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Working Capital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LOAN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29,70,000.00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Sundry Creditor (Trade)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22,19,178.08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23,96,712.33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25,88,449.32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27,95,525.26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30,19,167.28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Provision for Income Tax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14,90,751.98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18,95,542.31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23,17,827.72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29,76,435.23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34,39,997.17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Current Portion of Term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29,40,567.27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32,32,411.47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45,01,823.09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32,99,746.78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CURRENT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66,50,497.33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75,24,666.11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94,08,100.13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90,71,707.27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64,59,164.45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TERM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Term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1,10,33,981.34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78,01,569.87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32,99,746.78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TERM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1,10,33,981.34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78,01,569.87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32,99,746.78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NON 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EQUITY + LIABILITY</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3,77,77,388.15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4,08,14,150.51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4,47,92,655.71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5,03,78,985.33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5,66,91,640.06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FIXED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Gross Block</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2,46,40,000.00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2,17,42,000.00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1,92,40,900.00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1,70,80,945.00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Depreciation to date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28,98,000.00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25,01,100.00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21,59,955.00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18,66,579.75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NET BLOCK</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2,46,40,000.00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2,17,42,000.00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1,92,40,900.00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1,70,80,945.00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1,52,14,365.25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Cash &amp; Cash Equivalents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12,24,898.64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42,53,153.32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75,65,705.48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1,15,92,248.41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1,58,28,863.03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Inventory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51,78,082.19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55,92,328.77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60,39,715.07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65,22,892.27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70,44,723.66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Sundry Debtors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59,17,808.22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63,91,232.88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69,02,531.51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74,54,734.03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80,51,112.75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1,23,20,789.05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1,62,36,714.97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2,05,07,952.06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2,55,69,874.71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3,09,24,699.44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NON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Non Current Asset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8,16,599.10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28,35,435.54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50,43,803.65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77,28,165.61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1,05,52,575.36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NON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8,16,599.10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28,35,435.54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50,43,803.65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77,28,165.61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1,05,52,575.36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3,77,77,388.15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4,08,14,150.51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4,47,92,655.71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5,03,78,985.32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5,66,91,640.05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Difference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0.01</w:t>
            </w:r>
          </w:p>
        </w:tc>
      </w:tr>
    </w:tbl>
    <w:p>
      <w:pPr>
        <w:spacing w:after="400"/>
      </w:pPr>
    </w:p>
    <w:p>
      <w:r>
        <w:br w:type="page"/>
      </w:r>
    </w:p>
    <w:p>
      <w:pPr>
        <w:pStyle w:val="sectionHeading"/>
        <w:spacing w:after="200"/>
        <w:jc w:val="center"/>
      </w:pPr>
      <w:r>
        <w:t xml:space="preserve">Depreciation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Land</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Building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51,03,000.00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45,92,700.00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51,03,000.00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45,92,700.00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5,10,300.00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4,59,270.00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51,03,000.00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45,92,700.00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41,33,430.00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Furniture &amp; Fixtures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10,20,600.00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9,18,540.00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10,20,600.00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9,18,540.00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1,02,060.00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91,854.00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10,20,600.00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9,18,540.00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8,26,686.00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Plant &amp; Machinery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1,07,10,000.00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91,03,500.00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77,37,975.00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65,77,278.75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1,07,10,000.00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91,03,500.00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77,37,975.00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65,77,278.75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16,06,500.00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13,65,525.00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11,60,696.25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9,86,591.81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1,07,10,000.00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91,03,500.00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77,37,975.00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65,77,278.75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55,90,686.94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Vehicles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30,34,500.00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25,79,325.00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21,92,426.25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30,34,500.00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25,79,325.00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21,92,426.25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5,35,500.00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4,55,175.00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3,86,898.75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3,28,863.94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30,34,500.00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25,79,325.00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21,92,426.25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18,63,562.31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Opening</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2,80,00,000.00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2,46,40,000.00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2,17,42,000.00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1,92,40,900.00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1,70,80,945.00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During the Year</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Gross Block</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2,80,00,000.00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2,46,40,000.00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2,17,42,000.00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1,92,40,900.00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1,70,80,945.00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less depreciation</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33,60,000.00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28,98,000.00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25,01,100.00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21,59,955.00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18,66,579.75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Adjust (Dep) (Add/Less)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written down value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2,46,40,000.00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2,17,42,000.00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1,92,40,900.00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1,70,80,945.00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1,52,14,365.25</w:t>
            </w:r>
          </w:p>
        </w:tc>
      </w:tr>
    </w:tbl>
    <w:p>
      <w:pPr>
        <w:spacing w:after="400"/>
      </w:pPr>
    </w:p>
    <w:p>
      <w:r>
        <w:br w:type="page"/>
      </w:r>
    </w:p>
    <w:p>
      <w:pPr>
        <w:pStyle w:val="sectionHeading"/>
        <w:spacing w:after="200"/>
        <w:jc w:val="center"/>
      </w:pPr>
      <w:r>
        <w:t xml:space="preserve">Breakeven Point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Sales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Total Sales Revenue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5,83,20,000.00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6,29,85,600.00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6,80,24,448.00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7,34,66,403.84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Cost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Fixed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84,35,938.54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80,12,620.64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76,12,699.45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71,50,710.66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69,12,389.64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Variable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3,98,30,400.00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4,30,16,832.00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4,64,58,178.56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5,01,74,832.85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5,41,88,819.48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  Total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4,82,66,338.54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5,10,29,452.64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5,40,70,878.01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5,73,25,543.51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6,11,01,209.12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Contribution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Contribution Margin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1,41,69,600.00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1,53,03,168.00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1,65,27,421.44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1,78,49,615.15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1,92,77,584.36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Contribution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26.24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Break-Even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Break-even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3,21,49,156.02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3,05,35,901.83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2,90,11,811.93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2,72,51,183.93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2,63,42,948.33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  Break-even Point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52.36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35.86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Margin of Safety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2,18,50,843.98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2,77,84,098.17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3,39,73,788.07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4,07,73,264.07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4,71,23,455.51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  Margin of Safety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40.46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47.64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53.94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59.94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64.14</w:t>
            </w:r>
          </w:p>
        </w:tc>
      </w:tr>
    </w:tbl>
    <w:p>
      <w:pPr>
        <w:spacing w:after="400"/>
      </w:pPr>
    </w:p>
    <w:p>
      <w:r>
        <w:br w:type="page"/>
      </w:r>
    </w:p>
    <w:p>
      <w:pPr>
        <w:pStyle w:val="sectionHeading"/>
        <w:spacing w:after="200"/>
        <w:jc w:val="center"/>
      </w:pPr>
      <w:r>
        <w:t xml:space="preserve">EMI Repayment Schedule for Term Loan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Height w:val="400" w:hRule="atLeast"/>
        </w:trPr>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Payment Date</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Opening Bal.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EMI</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Principal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Interest</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Closing Bal.</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2,25,491.62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1,19,700.00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1,48,94,508.38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1,48,94,508.38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2,27,276.76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1,17,914.86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1,46,67,231.62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1,46,67,231.62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2,29,076.03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1,16,115.58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1,44,38,155.59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1,44,38,155.59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2,30,889.55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1,14,302.07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1,42,07,266.04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1,42,07,266.04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2,32,717.43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1,12,474.19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1,39,74,548.61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1,39,74,548.61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2,34,559.77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1,10,631.84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1,37,39,988.84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1,37,39,988.84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2,36,416.71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1,08,774.91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1,35,03,572.13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1,35,03,572.13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2,38,288.34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1,06,903.28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1,32,65,283.79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1,32,65,283.79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2,40,174.79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1,05,016.83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1,30,25,109.00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1,30,25,109.00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2,42,076.17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1,03,115.45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1,27,83,032.83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1,27,83,032.83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2,43,992.61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1,01,199.01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1,25,39,040.23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1,25,39,040.23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2,45,924.22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99,267.40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1,22,93,116.01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1,22,93,116.01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2,47,871.12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97,320.50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1,20,45,244.89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1,20,45,244.89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2,49,833.43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95,358.19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1,17,95,411.47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1,17,95,411.47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2,51,811.28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93,380.34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1,15,43,600.19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1,15,43,600.19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2,53,804.78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91,386.83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1,12,89,795.41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1,12,89,795.41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2,55,814.07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89,377.55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1,10,33,981.34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1,10,33,981.34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2,57,839.27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87,352.35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1,07,76,142.07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1,07,76,142.07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2,59,880.49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85,311.12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1,05,16,261.58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1,05,16,261.58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2,61,937.88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83,253.74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1,02,54,323.70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1,02,54,323.70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2,64,011.55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81,180.06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99,90,312.14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99,90,312.14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2,66,101.65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79,089.97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97,24,210.50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97,24,210.50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2,68,208.28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76,983.33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94,56,002.21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94,56,002.21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2,70,331.60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74,860.02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91,85,670.61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91,85,670.61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2,72,471.73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72,719.89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89,13,198.89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89,13,198.89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2,74,628.79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70,562.82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86,38,570.10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86,38,570.10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2,76,802.94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68,388.68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83,61,767.16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83,61,767.16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2,78,994.29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66,197.32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80,82,772.86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80,82,772.86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2,81,203.00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63,988.62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78,01,569.87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78,01,569.87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3,45,191.62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2,83,429.19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61,762.43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75,18,140.68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60,18,140.68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2,28,676.26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47,643.61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57,89,464.41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57,89,464.41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2,30,486.62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45,833.26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55,58,977.79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55,58,977.79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2,32,311.30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44,008.57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53,26,666.49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53,26,666.49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2,34,150.43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42,169.44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50,92,516.06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50,92,516.06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2,36,004.13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40,315.75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48,56,511.93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48,56,511.93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2,37,872.49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38,447.39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46,18,639.44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46,18,639.44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2,39,755.65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36,564.23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43,78,883.79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43,78,883.79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2,41,653.71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34,666.16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41,37,230.07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41,37,230.07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2,43,566.81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32,753.07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38,93,663.27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38,93,663.27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2,45,495.04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30,824.83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36,48,168.22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36,48,168.22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2,47,438.55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28,881.33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34,00,729.68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34,00,729.68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2,49,397.43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26,922.44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31,51,332.24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31,51,332.24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2,51,371.83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24,948.05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28,99,960.41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28,99,960.41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2,53,361.86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22,958.02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26,46,598.55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26,46,598.55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2,55,367.64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20,952.24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23,91,230.92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23,91,230.92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2,57,389.30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18,930.58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21,33,841.62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21,33,841.62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2,59,426.97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16,892.91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18,74,414.65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18,74,414.65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2,61,480.76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14,839.12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16,12,933.89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16,12,933.89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2,63,550.82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12,769.06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13,49,383.07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13,49,383.07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2,65,637.26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10,682.62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10,83,745.81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10,83,745.81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2,67,740.22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8,579.65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8,16,005.59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8,16,005.59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2,69,859.83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6,460.04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5,46,145.75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5,46,145.75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2,71,996.22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4,323.65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2,74,149.53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2,74,149.53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2,76,319.88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2,74,149.53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2,170.35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r>
    </w:tbl>
    <w:p>
      <w:r>
        <w:br w:type="page"/>
      </w:r>
    </w:p>
    <w:p>
      <w:pPr>
        <w:pStyle w:val="sectionHeading"/>
        <w:spacing w:after="300"/>
        <w:jc w:val="center"/>
      </w:pPr>
      <w:r>
        <w:t xml:space="preserve">EXPLANATIONS &amp; CONCLUSION</w:t>
      </w:r>
    </w:p>
    <w:p>
      <w:pPr>
        <w:spacing w:before="200" w:after="100"/>
      </w:pPr>
      <w:r>
        <w:rPr>
          <w:b/>
          <w:bCs/>
          <w:color w:val="FFFFFF"/>
          <w:sz w:val="28"/>
          <w:szCs w:val="28"/>
        </w:rPr>
        <w:t xml:space="preserve">Assumptions</w:t>
      </w:r>
    </w:p>
    <w:p>
      <w:pPr>
        <w:spacing w:after="150"/>
      </w:pPr>
      <w:r>
        <w:t xml:space="preserve">The entire projection is based on the assumption that the sales for 5 years will be as follows: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475569" w:color="475569" w:val="solid"/>
          </w:tcPr>
          <w:p>
            <w:pPr>
              <w:pStyle w:val="Default"/>
              <w:jc w:val="center"/>
            </w:pPr>
            <w:r>
              <w:rPr>
                <w:color w:val="FFFFFF"/>
              </w:rPr>
              <w:t xml:space="preserve">31/03/2027</w:t>
            </w:r>
          </w:p>
        </w:tc>
        <w:tc>
          <w:tcPr>
            <w:shd w:fill="475569" w:color="475569" w:val="solid"/>
          </w:tcPr>
          <w:p>
            <w:pPr>
              <w:pStyle w:val="Default"/>
              <w:jc w:val="center"/>
            </w:pPr>
            <w:r>
              <w:rPr>
                <w:color w:val="FFFFFF"/>
              </w:rPr>
              <w:t xml:space="preserve">31/03/2028</w:t>
            </w:r>
          </w:p>
        </w:tc>
        <w:tc>
          <w:tcPr>
            <w:shd w:fill="475569" w:color="475569" w:val="solid"/>
          </w:tcPr>
          <w:p>
            <w:pPr>
              <w:pStyle w:val="Default"/>
              <w:jc w:val="center"/>
            </w:pPr>
            <w:r>
              <w:rPr>
                <w:color w:val="FFFFFF"/>
              </w:rPr>
              <w:t xml:space="preserve">31/03/2029</w:t>
            </w:r>
          </w:p>
        </w:tc>
        <w:tc>
          <w:tcPr>
            <w:shd w:fill="475569" w:color="475569" w:val="solid"/>
          </w:tcPr>
          <w:p>
            <w:pPr>
              <w:pStyle w:val="Default"/>
              <w:jc w:val="center"/>
            </w:pPr>
            <w:r>
              <w:rPr>
                <w:color w:val="FFFFFF"/>
              </w:rPr>
              <w:t xml:space="preserve">31/03/2030</w:t>
            </w:r>
          </w:p>
        </w:tc>
        <w:tc>
          <w:tcPr>
            <w:shd w:fill="475569" w:color="475569" w:val="solid"/>
          </w:tcPr>
          <w:p>
            <w:pPr>
              <w:pStyle w:val="Default"/>
              <w:jc w:val="center"/>
            </w:pPr>
            <w:r>
              <w:rPr>
                <w:color w:val="FFFFFF"/>
              </w:rPr>
              <w:t xml:space="preserve">31/03/2031</w:t>
            </w:r>
          </w:p>
        </w:tc>
      </w:tr>
      <w:tr>
        <w:tc>
          <w:p>
            <w:pPr>
              <w:pStyle w:val="Default"/>
              <w:jc w:val="right"/>
            </w:pPr>
            <w:r>
              <w:t xml:space="preserve">5,40,00,000.00</w:t>
            </w:r>
          </w:p>
        </w:tc>
        <w:tc>
          <w:p>
            <w:pPr>
              <w:pStyle w:val="Default"/>
              <w:jc w:val="right"/>
            </w:pPr>
            <w:r>
              <w:t xml:space="preserve">5,83,20,000.00</w:t>
            </w:r>
          </w:p>
        </w:tc>
        <w:tc>
          <w:p>
            <w:pPr>
              <w:pStyle w:val="Default"/>
              <w:jc w:val="right"/>
            </w:pPr>
            <w:r>
              <w:t xml:space="preserve">6,29,85,600.00</w:t>
            </w:r>
          </w:p>
        </w:tc>
        <w:tc>
          <w:p>
            <w:pPr>
              <w:pStyle w:val="Default"/>
              <w:jc w:val="right"/>
            </w:pPr>
            <w:r>
              <w:t xml:space="preserve">6,80,24,448.00</w:t>
            </w:r>
          </w:p>
        </w:tc>
        <w:tc>
          <w:p>
            <w:pPr>
              <w:pStyle w:val="Default"/>
              <w:jc w:val="right"/>
            </w:pPr>
            <w:r>
              <w:t xml:space="preserve">7,34,66,403.84</w:t>
            </w:r>
          </w:p>
        </w:tc>
      </w:tr>
    </w:tbl>
    <w:p>
      <w:pPr>
        <w:spacing w:before="200" w:after="200"/>
      </w:pPr>
      <w:r>
        <w:rPr>
          <w:b/>
          <w:bCs/>
        </w:rPr>
        <w:t xml:space="preserve">Revenue From Sales: </w:t>
      </w:r>
      <w:r>
        <w:t xml:space="preserve">5,40,00,000.00</w:t>
      </w:r>
    </w:p>
    <w:p>
      <w:pPr>
        <w:spacing w:after="150"/>
      </w:pPr>
      <w:r>
        <w:t xml:space="preserve">Also total revenue &amp; expense for firm during projection years will be as follows: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475569" w:color="475569" w:val="solid"/>
          </w:tcPr>
          <w:p>
            <w:pPr>
              <w:pStyle w:val="Default"/>
              <w:jc w:val="center"/>
            </w:pPr>
            <w:r>
              <w:rPr>
                <w:color w:val="FFFFFF"/>
              </w:rPr>
              <w:t xml:space="preserve">31/03/2027</w:t>
            </w:r>
          </w:p>
        </w:tc>
        <w:tc>
          <w:tcPr>
            <w:shd w:fill="475569" w:color="475569" w:val="solid"/>
          </w:tcPr>
          <w:p>
            <w:pPr>
              <w:pStyle w:val="Default"/>
              <w:jc w:val="center"/>
            </w:pPr>
            <w:r>
              <w:rPr>
                <w:color w:val="FFFFFF"/>
              </w:rPr>
              <w:t xml:space="preserve">31/03/2028</w:t>
            </w:r>
          </w:p>
        </w:tc>
        <w:tc>
          <w:tcPr>
            <w:shd w:fill="475569" w:color="475569" w:val="solid"/>
          </w:tcPr>
          <w:p>
            <w:pPr>
              <w:pStyle w:val="Default"/>
              <w:jc w:val="center"/>
            </w:pPr>
            <w:r>
              <w:rPr>
                <w:color w:val="FFFFFF"/>
              </w:rPr>
              <w:t xml:space="preserve">31/03/2029</w:t>
            </w:r>
          </w:p>
        </w:tc>
        <w:tc>
          <w:tcPr>
            <w:shd w:fill="475569" w:color="475569" w:val="solid"/>
          </w:tcPr>
          <w:p>
            <w:pPr>
              <w:pStyle w:val="Default"/>
              <w:jc w:val="center"/>
            </w:pPr>
            <w:r>
              <w:rPr>
                <w:color w:val="FFFFFF"/>
              </w:rPr>
              <w:t xml:space="preserve">31/03/2030</w:t>
            </w:r>
          </w:p>
        </w:tc>
        <w:tc>
          <w:tcPr>
            <w:shd w:fill="475569" w:color="475569" w:val="solid"/>
          </w:tcPr>
          <w:p>
            <w:pPr>
              <w:pStyle w:val="Default"/>
              <w:jc w:val="center"/>
            </w:pPr>
            <w:r>
              <w:rPr>
                <w:color w:val="FFFFFF"/>
              </w:rPr>
              <w:t xml:space="preserve">31/03/2031</w:t>
            </w:r>
          </w:p>
        </w:tc>
      </w:tr>
      <w:tr>
        <w:tc>
          <w:p>
            <w:pPr>
              <w:pStyle w:val="Default"/>
              <w:jc w:val="right"/>
            </w:pPr>
            <w:r>
              <w:t xml:space="preserve">1,58,66,338.54</w:t>
            </w:r>
          </w:p>
        </w:tc>
        <w:tc>
          <w:p>
            <w:pPr>
              <w:pStyle w:val="Default"/>
              <w:jc w:val="right"/>
            </w:pPr>
            <w:r>
              <w:t xml:space="preserve">1,60,37,452.64</w:t>
            </w:r>
          </w:p>
        </w:tc>
        <w:tc>
          <w:p>
            <w:pPr>
              <w:pStyle w:val="Default"/>
              <w:jc w:val="right"/>
            </w:pPr>
            <w:r>
              <w:t xml:space="preserve">1,62,79,518.01</w:t>
            </w:r>
          </w:p>
        </w:tc>
        <w:tc>
          <w:p>
            <w:pPr>
              <w:pStyle w:val="Default"/>
              <w:jc w:val="right"/>
            </w:pPr>
            <w:r>
              <w:t xml:space="preserve">1,65,10,874.70</w:t>
            </w:r>
          </w:p>
        </w:tc>
        <w:tc>
          <w:p>
            <w:pPr>
              <w:pStyle w:val="Default"/>
              <w:jc w:val="right"/>
            </w:pPr>
            <w:r>
              <w:t xml:space="preserve">1,70,21,366.82</w:t>
            </w:r>
          </w:p>
        </w:tc>
      </w:tr>
    </w:tbl>
    <w:p>
      <w:pPr>
        <w:spacing w:before="300" w:after="150"/>
      </w:pPr>
      <w:r>
        <w:rPr>
          <w:b/>
          <w:bCs/>
          <w:color w:val="FFFFFF"/>
          <w:sz w:val="28"/>
          <w:szCs w:val="28"/>
        </w:rPr>
        <w:t xml:space="preserve">Loan Assumptions</w:t>
      </w:r>
    </w:p>
    <w:p>
      <w:pPr>
        <w:pStyle w:val="ListParagraph"/>
        <w:numPr>
          <w:ilvl w:val="0"/>
          <w:numId w:val="1"/>
        </w:numPr>
        <w:spacing w:before="100"/>
      </w:pPr>
      <w:r>
        <w:t xml:space="preserve">Term Loan: Principal 1,51,20,000.00, Interest 9.5%, Duration 5 years, TL Subsidy 15,00,000.00, Net TL 1,36,20,000.00</w:t>
      </w:r>
    </w:p>
    <w:p>
      <w:pPr>
        <w:pStyle w:val="ListParagraph"/>
        <w:numPr>
          <w:ilvl w:val="0"/>
          <w:numId w:val="1"/>
        </w:numPr>
        <w:spacing w:before="100"/>
      </w:pPr>
      <w:r>
        <w:t xml:space="preserve">Working Capital Loan: Principal 29,70,000.00, Interest 10%</w:t>
      </w:r>
    </w:p>
    <w:p>
      <w:pPr>
        <w:spacing w:before="300" w:after="150"/>
      </w:pPr>
      <w:r>
        <w:rPr>
          <w:b/>
          <w:bCs/>
        </w:rPr>
        <w:t xml:space="preserve">The depreciation is as follows:</w:t>
      </w:r>
    </w:p>
    <w:tbl>
      <w:tblPr>
        <w:tblW w:type="pct" w:w="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475569" w:color="475569" w:val="solid"/>
          </w:tcPr>
          <w:p>
            <w:pPr>
              <w:jc w:val="center"/>
            </w:pPr>
            <w:r>
              <w:rPr>
                <w:b/>
                <w:bCs/>
                <w:color w:val="FFFFFF"/>
              </w:rPr>
              <w:t xml:space="preserve">Particulars</w:t>
            </w:r>
          </w:p>
        </w:tc>
        <w:tc>
          <w:tcPr>
            <w:shd w:fill="475569" w:color="475569" w:val="solid"/>
          </w:tcPr>
          <w:p>
            <w:pPr>
              <w:jc w:val="center"/>
            </w:pPr>
            <w:r>
              <w:rPr>
                <w:b/>
                <w:bCs/>
                <w:color w:val="FFFFFF"/>
              </w:rPr>
              <w:t xml:space="preserve">Rate</w:t>
            </w:r>
          </w:p>
        </w:tc>
      </w:tr>
      <w:tr>
        <w:tc>
          <w:p>
            <w:r>
              <w:t xml:space="preserve">Building</w:t>
            </w:r>
          </w:p>
        </w:tc>
        <w:tc>
          <w:p>
            <w:pPr>
              <w:jc w:val="center"/>
            </w:pPr>
            <w:r>
              <w:t xml:space="preserve">10%</w:t>
            </w:r>
          </w:p>
        </w:tc>
      </w:tr>
      <w:tr>
        <w:tc>
          <w:p>
            <w:r>
              <w:t xml:space="preserve">Furniture &amp; Fixtures</w:t>
            </w:r>
          </w:p>
        </w:tc>
        <w:tc>
          <w:p>
            <w:pPr>
              <w:jc w:val="center"/>
            </w:pPr>
            <w:r>
              <w:t xml:space="preserve">10%</w:t>
            </w:r>
          </w:p>
        </w:tc>
      </w:tr>
      <w:tr>
        <w:tc>
          <w:p>
            <w:r>
              <w:t xml:space="preserve">Plant &amp; Machinery</w:t>
            </w:r>
          </w:p>
        </w:tc>
        <w:tc>
          <w:p>
            <w:pPr>
              <w:jc w:val="center"/>
            </w:pPr>
            <w:r>
              <w:t xml:space="preserve">15%</w:t>
            </w:r>
          </w:p>
        </w:tc>
      </w:tr>
      <w:tr>
        <w:tc>
          <w:p>
            <w:r>
              <w:t xml:space="preserve">Vehicles</w:t>
            </w:r>
          </w:p>
        </w:tc>
        <w:tc>
          <w:p>
            <w:pPr>
              <w:jc w:val="center"/>
            </w:pPr>
            <w:r>
              <w:t xml:space="preserve">15%</w:t>
            </w:r>
          </w:p>
        </w:tc>
      </w:tr>
    </w:tbl>
    <w:p>
      <w:pPr>
        <w:pStyle w:val="ListParagraph"/>
        <w:numPr>
          <w:ilvl w:val="0"/>
          <w:numId w:val="1"/>
        </w:numPr>
        <w:spacing w:before="100"/>
      </w:pPr>
      <w:r>
        <w:t xml:space="preserve">Cost of Machinery is based on direct purchase from the market on deepest study</w:t>
      </w:r>
    </w:p>
    <w:p>
      <w:pPr>
        <w:pStyle w:val="ListParagraph"/>
        <w:numPr>
          <w:ilvl w:val="0"/>
          <w:numId w:val="1"/>
        </w:numPr>
        <w:spacing w:before="100"/>
      </w:pPr>
      <w:r>
        <w:t xml:space="preserve">Value of raw materials &amp; utility charges as per the current market conditions</w:t>
      </w:r>
    </w:p>
    <w:p>
      <w:pPr>
        <w:pStyle w:val="ListParagraph"/>
        <w:numPr>
          <w:ilvl w:val="0"/>
          <w:numId w:val="1"/>
        </w:numPr>
        <w:spacing w:before="100"/>
      </w:pPr>
      <w:r>
        <w:t xml:space="preserve">All other assumptions are calculated based on the basis of experience of the promoter and deep study on the working of similar model</w:t>
      </w:r>
    </w:p>
    <w:p>
      <w:pPr>
        <w:spacing w:before="400" w:after="150"/>
      </w:pPr>
      <w:r>
        <w:rPr>
          <w:b/>
          <w:bCs/>
          <w:color w:val="FFFFFF"/>
          <w:sz w:val="28"/>
          <w:szCs w:val="28"/>
        </w:rPr>
        <w:t xml:space="preserve">Conclusion</w:t>
      </w:r>
    </w:p>
    <w:p>
      <w:pPr>
        <w:spacing w:after="120"/>
        <w:jc w:val="both"/>
      </w:pPr>
      <w:r>
        <w:t xml:space="preserve">When we take a close look at the Debt Service Coverage Ratio (DSCR), the avg: DSCR is </w:t>
      </w:r>
      <w:r>
        <w:rPr>
          <w:b/>
          <w:bCs/>
        </w:rPr>
        <w:t xml:space="preserve">2.64 : 1</w:t>
      </w:r>
      <w:r>
        <w:t xml:space="preserve">, which is at a higher proposition and proposes a stable venture.</w:t>
      </w:r>
    </w:p>
    <w:p>
      <w:pPr>
        <w:spacing w:after="120"/>
        <w:jc w:val="both"/>
      </w:pPr>
      <w:r>
        <w:t xml:space="preserve">The Profit and Loss shows a steady growth in profit throughout the year and the firm has a higher Current Ratio (average) of </w:t>
      </w:r>
      <w:r>
        <w:rPr>
          <w:b/>
          <w:bCs/>
        </w:rPr>
        <w:t xml:space="preserve">1.98</w:t>
      </w:r>
      <w:r>
        <w:t xml:space="preserve">, this shows the current assets and current liabilities are managed &amp; balanced well.</w:t>
      </w:r>
    </w:p>
    <w:sectPr>
      <w:footerReference w:type="default" r:id="rId6"/>
      <w:pgSz w:w="11906" w:h="16838" w:orient="portrait"/>
      <w:pgMar w:top="720" w:right="720" w:bottom="720" w:left="720" w:header="708" w:footer="708" w:gutter="0"/>
      <w:pgBorders w:display="allPages" w:offsetFrom="page" w:zOrder="front"/>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documentProtection w:edit="readOnly" w:enforcement="1" w:cryptProviderType="rsaFull" w:hash="1Tiy+Xa1a9R9o1lKk+q6xQ==" w:salt="U1VjTHBvQWZJbGZrZ3Z5aA==" w:cryptAlgorithmType="typeAES" w:cryptAlgorithmSid="14" w:cryptSpinCount="10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12pt"/>
        <w:szCs w:val="12pt"/>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rPr>
      <w:sz w:val="12pt"/>
      <w:szCs w:val="12pt"/>
      <w:rFonts w:ascii="Calibri" w:cs="Calibri" w:eastAsia="Calibri" w:hAnsi="Calibri"/>
    </w:rPr>
  </w:style>
  <w:style w:type="paragraph" w:styleId="Strong">
    <w:name w:val="Strong"/>
    <w:basedOn w:val="Normal"/>
    <w:rPr>
      <w:b/>
      <w:bCs/>
      <w:sz w:val="12pt"/>
      <w:szCs w:val="12pt"/>
      <w:rFonts w:ascii="Calibri" w:cs="Calibri" w:eastAsia="Calibri" w:hAnsi="Calibri"/>
    </w:rPr>
  </w:style>
  <w:style w:type="paragraph" w:styleId="TableHeaderStyle">
    <w:name w:val="Table Header Style"/>
    <w:basedOn w:val="Normal"/>
    <w:rPr>
      <w:b/>
      <w:bCs/>
      <w:sz w:val="10pt"/>
      <w:szCs w:val="10pt"/>
      <w:rFonts w:ascii="Calibri" w:cs="Calibri" w:eastAsia="Calibri" w:hAnsi="Calibri"/>
    </w:rPr>
  </w:style>
  <w:style w:type="paragraph" w:styleId="sectionHeading">
    <w:name w:val="Section Heading"/>
    <w:basedOn w:val="Normal"/>
    <w:pPr>
      <w:spacing w:before="240" w:after="120"/>
    </w:pPr>
    <w:rPr>
      <w:b/>
      <w:bCs/>
      <w:color w:val="475569"/>
      <w:sz w:val="14pt"/>
      <w:szCs w:val="14pt"/>
      <w:rFonts w:ascii="Calibri" w:cs="Calibri" w:eastAsia="Calibri" w:hAnsi="Calibri"/>
    </w:rPr>
  </w:style>
  <w:style w:type="paragraph" w:styleId="docTitle">
    <w:name w:val="Document Title"/>
    <w:basedOn w:val="Normal"/>
    <w:pPr>
      <w:spacing w:before="240" w:after="240"/>
    </w:pPr>
    <w:rPr>
      <w:b/>
      <w:bCs/>
      <w:color w:val="475569"/>
      <w:sz w:val="18pt"/>
      <w:szCs w:val="18pt"/>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xhy9giuiyjjviy8fibayg.png"/><Relationship Id="rId8" Type="http://schemas.openxmlformats.org/officeDocument/2006/relationships/image" Target="media/ktvilyelevmcjt1ee2r3f.png"/><Relationship Id="rId9" Type="http://schemas.openxmlformats.org/officeDocument/2006/relationships/image" Target="media/yoxuccrfkgexkc-i1q13a.png"/><Relationship Id="rId10" Type="http://schemas.openxmlformats.org/officeDocument/2006/relationships/image" Target="media/pgtflohywxpmr7d1_orou.png"/><Relationship Id="rId11" Type="http://schemas.openxmlformats.org/officeDocument/2006/relationships/image" Target="media/ryqtvlgsehunr1upzvqxl.png"/><Relationship Id="rId12" Type="http://schemas.openxmlformats.org/officeDocument/2006/relationships/image" Target="media/fynus2u1t1gz6barfymvp.png"/><Relationship Id="rId13" Type="http://schemas.openxmlformats.org/officeDocument/2006/relationships/image" Target="media/4k_crxqlo9d9yrotv5qpq.png"/><Relationship Id="rId14" Type="http://schemas.openxmlformats.org/officeDocument/2006/relationships/image" Target="media/xesumzml7_fhgu40cwqer.png"/><Relationship Id="rId15" Type="http://schemas.openxmlformats.org/officeDocument/2006/relationships/image" Target="media/e6qdvatyqg_x17gd7umoe.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2026-10-10T14:23:14.083Z</dcterms:created>
  <dcterms:modified xsi:type="dcterms:W3CDTF">2026-10-10T14:23:14.083Z</dcterms:modified>
</cp:coreProperties>
</file>

<file path=docProps/custom.xml><?xml version="1.0" encoding="utf-8"?>
<Properties xmlns="http://schemas.openxmlformats.org/officeDocument/2006/custom-properties" xmlns:vt="http://schemas.openxmlformats.org/officeDocument/2006/docPropsVTypes"/>
</file>