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spacing w:after="500"/>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857500"/>
                    </a:xfrm>
                    <a:prstGeom prst="rect">
                      <a:avLst/>
                    </a:prstGeom>
                  </pic:spPr>
                </pic:pic>
              </a:graphicData>
            </a:graphic>
          </wp:inline>
        </w:drawing>
      </w:r>
    </w:p>
    <w:p>
      <w:pPr>
        <w:spacing w:after="1200" w:before="500"/>
        <w:jc w:val="center"/>
      </w:pPr>
      <w:r>
        <w:rPr>
          <w:b/>
          <w:bCs/>
          <w:sz w:val="48"/>
          <w:szCs w:val="48"/>
          <w:rFonts w:ascii="Arial" w:cs="Arial" w:eastAsia="Arial" w:hAnsi="Arial"/>
        </w:rPr>
        <w:t xml:space="preserve">Credit Monitoring Analysis (C M A)</w:t>
      </w:r>
    </w:p>
    <w:p>
      <w:pPr>
        <w:spacing w:after="1000" w:before="1000"/>
        <w:jc w:val="center"/>
      </w:pPr>
      <w:r>
        <w:rPr>
          <w:sz w:val="36"/>
          <w:szCs w:val="36"/>
          <w:rFonts w:ascii="Arial" w:cs="Arial" w:eastAsia="Arial" w:hAnsi="Arial"/>
        </w:rPr>
        <w:t xml:space="preserve">Of</w:t>
      </w:r>
    </w:p>
    <w:p>
      <w:pPr>
        <w:spacing w:after="300" w:before="0"/>
        <w:jc w:val="center"/>
      </w:pPr>
      <w:r>
        <w:rPr>
          <w:b/>
          <w:bCs/>
          <w:sz w:val="60"/>
          <w:szCs w:val="60"/>
          <w:rFonts w:ascii="Arial" w:cs="Arial" w:eastAsia="Arial" w:hAnsi="Arial"/>
        </w:rPr>
        <w:t xml:space="preserve">FINXORA TRADERS</w:t>
      </w:r>
    </w:p>
    <w:p>
      <w:pPr>
        <w:spacing w:before="50" w:after="50"/>
        <w:jc w:val="center"/>
      </w:pPr>
      <w:r>
        <w:rPr>
          <w:sz w:val="24"/>
          <w:szCs w:val="24"/>
          <w:rFonts w:ascii="Arial" w:cs="Arial" w:eastAsia="Arial" w:hAnsi="Arial"/>
        </w:rPr>
        <w:t xml:space="preserve">GST No.: 23AAABF0000A1Z5</w:t>
      </w:r>
    </w:p>
    <w:p>
      <w:pPr>
        <w:spacing w:before="50" w:after="50"/>
        <w:jc w:val="center"/>
      </w:pPr>
      <w:r>
        <w:rPr>
          <w:sz w:val="24"/>
          <w:szCs w:val="24"/>
          <w:rFonts w:ascii="Arial" w:cs="Arial" w:eastAsia="Arial" w:hAnsi="Arial"/>
        </w:rPr>
        <w:t xml:space="preserve">UDYAM No.: UDYAM-MP-00-0000000</w:t>
      </w:r>
    </w:p>
    <w:p>
      <w:pPr>
        <w:spacing w:before="150" w:after="150"/>
        <w:jc w:val="center"/>
      </w:pPr>
      <w:r>
        <w:rPr>
          <w:b/>
          <w:bCs/>
          <w:sz w:val="28"/>
          <w:szCs w:val="28"/>
          <w:rFonts w:ascii="Arial" w:cs="Arial" w:eastAsia="Arial" w:hAnsi="Arial"/>
        </w:rPr>
        <w:t xml:space="preserve">For Term Loan of 60,80,000.00 /- and CC of 26,40,000.00 /-</w:t>
      </w:r>
    </w:p>
    <w:p>
      <w:pPr>
        <w:spacing w:after="3300"/>
      </w:pPr>
    </w:p>
    <w:p>
      <w:pPr>
        <w:sectPr>
          <w:pgSz w:w="11906" w:h="16838" w:orient="portrait"/>
          <w:pgMar w:top="720" w:right="720" w:bottom="720" w:left="720" w:header="708" w:footer="708" w:gutter="0"/>
          <w:pgNumType/>
          <w:docGrid w:linePitch="360"/>
        </w:sectPr>
      </w:pPr>
    </w:p>
    <w:p>
      <w:pPr>
        <w:spacing w:after="300" w:before="200"/>
        <w:jc w:val="center"/>
      </w:pPr>
      <w:r>
        <w:rPr>
          <w:b/>
          <w:bCs/>
          <w:color w:val="475569"/>
          <w:sz w:val="18pt"/>
          <w:szCs w:val="18pt"/>
          <w:rFonts w:ascii="Calibri" w:cs="Calibri" w:eastAsia="Calibri" w:hAnsi="Calibri"/>
        </w:rPr>
        <w:t xml:space="preserve">INDEX</w:t>
      </w:r>
    </w:p>
    <w:sdt>
      <w:sdtPr>
        <w:alias w:val="Table of Contents"/>
      </w:sdtPr>
      <w:sdtContent>
        <w:p>
          <w:r>
            <w:fldChar w:fldCharType="begin" w:dirty="true"/>
            <w:instrText xml:space="preserve">TOC \h \t "docTitle,1,sectionHeading,1"</w:instrText>
            <w:fldChar w:fldCharType="separate"/>
          </w:r>
        </w:p>
        <w:p>
          <w:r>
            <w:fldChar w:fldCharType="end"/>
          </w:r>
        </w:p>
      </w:sdtContent>
    </w:sdt>
    <w:p>
      <w:r>
        <w:br w:type="page"/>
      </w:r>
    </w:p>
    <w:p>
      <w:pPr>
        <w:pStyle w:val="docTitle"/>
        <w:spacing w:after="300" w:before="200"/>
        <w:jc w:val="center"/>
      </w:pPr>
      <w:r>
        <w:t xml:space="preserve">COMPANY PROFILE</w:t>
      </w:r>
    </w:p>
    <w:p>
      <w:pPr>
        <w:pStyle w:val="sectionHeading"/>
        <w:spacing w:after="150" w:before="150"/>
        <w:jc w:val="left"/>
      </w:pPr>
      <w:r>
        <w:t xml:space="preserve">I. Company Information</w:t>
      </w:r>
    </w:p>
    <w:tbl>
      <w:tblPr>
        <w:tblW w:type="pct" w:w="9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Name of the Company/Firm</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FINXORA TRADERS</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Partner 1</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Partner 2</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Neha Kapoor (Female,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Partner 3</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Rohan Verma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Constitution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partnership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Address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Plot 12, Industrial Area, Indore, Madhya Pradesh 452001</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PAN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AAABF0000A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Date of Incorporation/Birth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Industry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Wholesale FMCG distribution</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Business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trading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Father/Spouse/Guardian Name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Dev Mehta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Marital Status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Married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Educational Qualification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Graduate with sector training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Profession/Occupation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Wholesale FMCG distribution</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Contact Number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Email</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sample@finxora.com</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Aadhaar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0000 0000 0000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description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Wholesale FMCG distribution serving institutional and retail customers in Indore and neighbouring districts of Madhya Pradesh. Operations combine documented customer orders, supplier evaluation, quality checks and regular collection follow-up. Management reviews stock, receivables and cash flow monthly to maintain service standards and timely debt repayment.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Incorporation / establishment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Bank and branch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 Indore Main Branch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Proposed facilities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Cash credit Rs. 26.4 lakh and term loan Rs. 60.8 lakh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Ownership / management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40%; Neha Kapoor: 35%; Rohan Verma: 25%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Market and operations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Diversified local customers; documented orders; monthly stock and debtor review.</w:t>
            </w:r>
          </w:p>
        </w:tc>
      </w:tr>
    </w:tbl>
    <w:p>
      <w:pPr>
        <w:spacing w:after="150"/>
      </w:pPr>
    </w:p>
    <w:p>
      <w:pPr>
        <w:pStyle w:val="sectionHeading"/>
        <w:spacing w:after="150" w:before="150"/>
        <w:jc w:val="left"/>
      </w:pPr>
      <w:r>
        <w:t xml:space="preserve">II. Project &amp; Financial Overview</w:t>
      </w:r>
    </w:p>
    <w:tbl>
      <w:tblPr>
        <w:tblW w:type="pct" w:w="9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Report Period</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2024 - 2028</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Currency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Amount In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Actual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Total Project Cost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1,86,40,000.00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60,80,000.00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9.5%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Installment (monthly)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1,27,691.32</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Repayment Frequency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Monthly</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(CC/OD)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Working Capital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26,40,000.00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10%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 Contribution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99,20,000.00</w:t>
            </w:r>
          </w:p>
        </w:tc>
      </w:tr>
    </w:tbl>
    <w:p>
      <w:pPr>
        <w:spacing w:after="200"/>
      </w:pPr>
    </w:p>
    <w:p>
      <w:r>
        <w:br w:type="page"/>
      </w:r>
    </w:p>
    <w:p>
      <w:pPr>
        <w:pStyle w:val="sectionHeading"/>
        <w:spacing w:after="200" w:before="400"/>
        <w:jc w:val="center"/>
      </w:pPr>
      <w:r>
        <w:t xml:space="preserve">Introduction</w:t>
      </w:r>
    </w:p>
    <w:p>
      <w:pPr>
        <w:pStyle w:val="Default"/>
        <w:spacing w:after="120"/>
        <w:jc w:val="both"/>
      </w:pPr>
      <w:r>
        <w:t xml:space="preserve">FINXORA TRADERS operates a wholesale fmcg distribution business in Indore, Madhya Pradesh. The proposal covers renewal of cash credit and continued servicing of asset finance, supported by the historical, provisional and projected periods identified in the schedules. The firm distributes packaged food, personal-care products and household consumables. Revenue arises from wholesale merchandise sales to retailers, with trade margins earned through efficient procurement, order consolidation and route delivery. Product-wise margin reporting separates promotional discounts from regular selling prices so that turnover growth does not mask a fall in profitability.</w:t>
      </w:r>
    </w:p>
    <w:p>
      <w:pPr>
        <w:pStyle w:val="Default"/>
        <w:spacing w:after="120"/>
        <w:jc w:val="both"/>
      </w:pPr>
      <w:r>
        <w:t xml:space="preserve">Neighbourhood retailers require frequent replenishment and a dependable range of branded consumables. Consolidated distribution can reduce their procurement effort and improve shelf availability. Growth will therefore come from route density and repeat order frequency, with credit discipline retained as a condition for expanding the retailer network.</w:t>
      </w:r>
    </w:p>
    <w:p>
      <w:pPr>
        <w:pStyle w:val="Default"/>
        <w:spacing w:after="120"/>
        <w:jc w:val="both"/>
      </w:pPr>
      <w:r>
        <w:t xml:space="preserve">The funding schedule provides a total outlay of Rs. 186.40 lakh, promoter contribution of Rs. 99.20 lakh, term finance of Rs. 60.80 lakh and cash credit of Rs. 26.40 lakh. The term facility is modelled at 9.5% over five years; working-capital interest is modelled at 10%. Security documentation and final repayment terms remain subject to the bank's appraisal and sanction. For the first reporting year, FY 2024-25, the computed schedules show sales of Rs. 480.00 lakh and net profit of Rs. 32.65 lakh. The first-year current ratio is 1.58 times and the arithmetic average of the annual DSCR values in the repayment schedule is 4.08 times. Final-year sales are Rs. 653.03 lakh with net profit of Rs. 57.72 lakh; these highlights reproduce the report's calculations rather than a separate earnings estimate.</w:t>
      </w:r>
    </w:p>
    <w:p>
      <w:pPr>
        <w:spacing w:after="200"/>
      </w:pPr>
    </w:p>
    <w:p>
      <w:pPr>
        <w:pStyle w:val="sectionHeading"/>
        <w:spacing w:after="200" w:before="400"/>
        <w:jc w:val="center"/>
      </w:pPr>
      <w:r>
        <w:t xml:space="preserve">Management and Expertise</w:t>
      </w:r>
    </w:p>
    <w:p>
      <w:pPr>
        <w:pStyle w:val="Default"/>
        <w:spacing w:after="120"/>
        <w:jc w:val="both"/>
      </w:pPr>
      <w:r>
        <w:t xml:space="preserve">Aarav Mehta has ten years of wholesale distribution experience and manages principal supplier relationships. Neha Kapoor supervises finance and credit administration, while Rohan Verma manages route sales and warehouse dispatch. Their profit-sharing ratios are 40%, 35% and 25%, with purchases and customer credit approved under defined internal limits.</w:t>
      </w:r>
    </w:p>
    <w:p>
      <w:pPr>
        <w:pStyle w:val="Default"/>
        <w:spacing w:after="120"/>
        <w:jc w:val="both"/>
      </w:pPr>
      <w:r>
        <w:t xml:space="preserve">The operating plan uses eight warehouse and delivery employees, three sales representatives and three administrative staff. Partners supervise procurement and collections directly. Delivery vehicles and handling equipment are maintained on a planned cycle; a backup transporter can cover peak demand without committing the firm to permanent excess fleet capacity. Responsibilities should be supported by written authority limits for purchases, customer credit and payments. Bank reconciliations and statutory compliance are to be reviewed monthly, and changes in key personnel should be accompanied by a documented handover.</w:t>
      </w:r>
    </w:p>
    <w:p>
      <w:pPr>
        <w:pStyle w:val="Default"/>
        <w:spacing w:after="120"/>
        <w:jc w:val="both"/>
      </w:pPr>
      <w:r>
        <w:t xml:space="preserve">Receipt checks reconcile supplier invoices with quantities, batch numbers and expiry dates. Goods are stored by product category and dispatched on a first-expiry-first-out basis. Damaged stock, returns and promotional claims are recorded separately, and supplier credit notes are followed up before they are treated as available trading margin. The reporting plan calls for consistent accounting policies, periodic physical verification and management review of exceptions. Forecast growth is an operating target and should be measured against demonstrated execution rather than treated as an assured result.</w:t>
      </w:r>
    </w:p>
    <w:p>
      <w:pPr>
        <w:spacing w:after="200"/>
      </w:pPr>
    </w:p>
    <w:p>
      <w:pPr>
        <w:pStyle w:val="sectionHeading"/>
        <w:spacing w:after="200" w:before="400"/>
        <w:jc w:val="center"/>
      </w:pPr>
      <w:r>
        <w:t xml:space="preserve">Operational Plan</w:t>
      </w:r>
    </w:p>
    <w:p>
      <w:pPr>
        <w:pStyle w:val="Default"/>
        <w:spacing w:after="120"/>
        <w:jc w:val="both"/>
      </w:pPr>
      <w:r>
        <w:t xml:space="preserve">The warehouse at Plot 12, Industrial Area, Indore supports receipt, batch-wise storage, picking and daily route dispatch. Its capacity is managed through pallet locations and delivery slots rather than speculative bulk purchases. Fast-moving stock is replenished frequently, while slow-moving and near-expiry items are flagged in a weekly ageing review for return or controlled clearance.</w:t>
      </w:r>
    </w:p>
    <w:p>
      <w:pPr>
        <w:pStyle w:val="Default"/>
        <w:spacing w:after="120"/>
        <w:jc w:val="both"/>
      </w:pPr>
      <w:r>
        <w:t xml:space="preserve">The operating plan uses eight warehouse and delivery employees, three sales representatives and three administrative staff. Partners supervise procurement and collections directly. Delivery vehicles and handling equipment are maintained on a planned cycle; a backup transporter can cover peak demand without committing the firm to permanent excess fleet capacity.</w:t>
      </w:r>
    </w:p>
    <w:p>
      <w:pPr>
        <w:pStyle w:val="Default"/>
        <w:spacing w:after="120"/>
        <w:jc w:val="both"/>
      </w:pPr>
      <w:r>
        <w:t xml:space="preserve">The firm distributes packaged food, personal-care products and household consumables. Revenue arises from wholesale merchandise sales to retailers, with trade margins earned through efficient procurement, order consolidation and route delivery. Product-wise margin reporting separates promotional discounts from regular selling prices so that turnover growth does not mask a fall in profitability.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Market Analysis and Opportunity</w:t>
      </w:r>
    </w:p>
    <w:p>
      <w:pPr>
        <w:pStyle w:val="Default"/>
        <w:spacing w:after="120"/>
        <w:jc w:val="both"/>
      </w:pPr>
      <w:r>
        <w:t xml:space="preserve">The customer base comprises neighbourhood grocery stores, independent supermarkets and small institutional buyers across Indore and nearby towns. Retailer orders are consolidated before dispatch and settled through scheduled collection visits or bank transfers. New accounts start on restricted credit; higher limits depend on collection history and the absence of overdue balances.</w:t>
      </w:r>
    </w:p>
    <w:p>
      <w:pPr>
        <w:pStyle w:val="Default"/>
        <w:spacing w:after="120"/>
        <w:jc w:val="both"/>
      </w:pPr>
      <w:r>
        <w:t xml:space="preserve">Neighbourhood retailers require frequent replenishment and a dependable range of branded consumables. Consolidated distribution can reduce their procurement effort and improve shelf availability. Growth will therefore come from route density and repeat order frequency, with credit discipline retained as a condition for expanding the retailer network.</w:t>
      </w:r>
    </w:p>
    <w:p>
      <w:pPr>
        <w:pStyle w:val="Default"/>
        <w:spacing w:after="120"/>
        <w:jc w:val="both"/>
      </w:pPr>
      <w:r>
        <w:t xml:space="preserve">The forecast assumes disciplined expansion of existing product and service lines, supported by the annual growth and collection assumptions in the schedules. Local competition, customer bargaining power and input-cost changes require regular review of quotations. Before expanding into another territory or customer group, management should compare incremental gross contribution with delivery, staffing and credit costs and retain only business that supports the repayment plan.</w:t>
      </w:r>
    </w:p>
    <w:p>
      <w:pPr>
        <w:spacing w:after="200"/>
      </w:pPr>
    </w:p>
    <w:p>
      <w:pPr>
        <w:pStyle w:val="sectionHeading"/>
        <w:spacing w:after="200" w:before="400"/>
        <w:jc w:val="center"/>
      </w:pPr>
      <w:r>
        <w:t xml:space="preserve">Quality Assurance and Control</w:t>
      </w:r>
    </w:p>
    <w:p>
      <w:pPr>
        <w:pStyle w:val="Default"/>
        <w:spacing w:after="120"/>
        <w:jc w:val="both"/>
      </w:pPr>
      <w:r>
        <w:t xml:space="preserve">Receipt checks reconcile supplier invoices with quantities, batch numbers and expiry dates. Goods are stored by product category and dispatched on a first-expiry-first-out basis. Damaged stock, returns and promotional claims are recorded separately, and supplier credit notes are followed up before they are treated as available trading margin.</w:t>
      </w:r>
    </w:p>
    <w:p>
      <w:pPr>
        <w:pStyle w:val="Default"/>
        <w:spacing w:after="120"/>
        <w:jc w:val="both"/>
      </w:pPr>
      <w:r>
        <w:t xml:space="preserve">The warehouse at Plot 12, Industrial Area, Indore supports receipt, batch-wise storage, picking and daily route dispatch. Its capacity is managed through pallet locations and delivery slots rather than speculative bulk purchases. Fast-moving stock is replenished frequently, while slow-moving and near-expiry items are flagged in a weekly ageing review for return or controlled clearance. Operating records should link purchases or inputs to completed output and customer billing, allowing exceptions to be traced promptly. Responsibility for acceptance checks, stock custody and payment approval should be separated wherever staffing permits.</w:t>
      </w:r>
    </w:p>
    <w:p>
      <w:pPr>
        <w:pStyle w:val="Default"/>
        <w:spacing w:after="120"/>
        <w:jc w:val="both"/>
      </w:pPr>
      <w:r>
        <w:t xml:space="preserve">Management should retain supplier documents, maintenance records, customer complaints and corrective-action logs. Quality controls are intended to prevent avoidable returns and interruption as well as meet customer specifications. Periodic review of losses, rework and complaints should feed into costing and training; certifications or approvals should be claimed only after the applicable requirements have been met.</w:t>
      </w:r>
    </w:p>
    <w:p>
      <w:pPr>
        <w:spacing w:after="200"/>
      </w:pPr>
    </w:p>
    <w:p>
      <w:pPr>
        <w:pStyle w:val="sectionHeading"/>
        <w:spacing w:after="200" w:before="400"/>
        <w:jc w:val="center"/>
      </w:pPr>
      <w:r>
        <w:t xml:space="preserve">Risk Assessment and Mitigation</w:t>
      </w:r>
    </w:p>
    <w:p>
      <w:pPr>
        <w:pStyle w:val="Default"/>
        <w:spacing w:after="120"/>
        <w:jc w:val="both"/>
      </w:pPr>
      <w:r>
        <w:t xml:space="preserve">Thin wholesale margins make expiry losses, unsecured retailer credit and supplier concentration material risks. The firm mitigates these through stock ageing controls, account-wise limits, regular collections and multiple product principals. Promotional purchases require an identified sales outlet, and disputed supplier claims are excluded from routine cash-flow planning until settled.</w:t>
      </w:r>
    </w:p>
    <w:p>
      <w:pPr>
        <w:pStyle w:val="Default"/>
        <w:spacing w:after="120"/>
        <w:jc w:val="both"/>
      </w:pPr>
      <w:r>
        <w:t xml:space="preserve">Neighbourhood retailers require frequent replenishment and a dependable range of branded consumables. Consolidated distribution can reduce their procurement effort and improve shelf availability. Growth will therefore come from route density and repeat order frequency, with credit discipline retained as a condition for expanding the retailer network. These strengths are balanced by the need to manage utilisation, cost discipline and collection performance. The projection should be stress-tested for lower sales, higher input prices and a longer collection cycle, with repayment reviewed against the resulting cash accruals rather than solely against the base-case margin.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Insurance, supplier continuity arrangements and timely statutory renewals should be reviewed annually. The bank should receive prompt explanations for material deviations from the sanctioned operating assumptions.</w:t>
      </w:r>
    </w:p>
    <w:p>
      <w:pPr>
        <w:spacing w:after="200"/>
      </w:pPr>
    </w:p>
    <w:p>
      <w:pPr>
        <w:pStyle w:val="sectionHeading"/>
        <w:spacing w:after="200" w:before="400"/>
        <w:jc w:val="center"/>
      </w:pPr>
      <w:r>
        <w:t xml:space="preserve">Financial Analysis</w:t>
      </w:r>
    </w:p>
    <w:p>
      <w:pPr>
        <w:pStyle w:val="Default"/>
        <w:spacing w:after="120"/>
        <w:jc w:val="both"/>
      </w:pPr>
      <w:r>
        <w:t xml:space="preserve">For the first reporting year, FY 2024-25, the computed schedules show sales of Rs. 480.00 lakh and net profit of Rs. 32.65 lakh. The first-year current ratio is 1.58 times and the arithmetic average of the annual DSCR values in the repayment schedule is 4.08 times. Final-year sales are Rs. 653.03 lakh with net profit of Rs. 57.72 lakh; these highlights reproduce the report's calculations rather than a separate earnings estimate.</w:t>
      </w:r>
    </w:p>
    <w:p>
      <w:pPr>
        <w:pStyle w:val="Default"/>
        <w:spacing w:after="120"/>
        <w:jc w:val="both"/>
      </w:pPr>
      <w:r>
        <w:t xml:space="preserve">The funding schedule provides a total outlay of Rs. 186.40 lakh, promoter contribution of Rs. 99.20 lakh, term finance of Rs. 60.80 lakh and cash credit of Rs. 26.40 lakh. The term facility is modelled at 9.5% over five years; working-capital interest is modelled at 10%. Security documentation and final repayment terms remain subject to the bank's appraisal and sanction.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Conclusion and Recommendations</w:t>
      </w:r>
    </w:p>
    <w:p>
      <w:pPr>
        <w:pStyle w:val="Default"/>
        <w:spacing w:after="120"/>
        <w:jc w:val="both"/>
      </w:pPr>
      <w:r>
        <w:t xml:space="preserve">FINXORA TRADERS's proposal connects wholesale fmcg distribution activity with an identified operating plan, a defined promoter contribution and scheduled bank finance. Neighbourhood retailers require frequent replenishment and a dependable range of branded consumables. Consolidated distribution can reduce their procurement effort and improve shelf availability. Growth will therefore come from route density and repeat order frequency, with credit discipline retained as a condition for expanding the retailer network. The computed liquidity and debt-service indicators support consideration of the proposal under the stated assumptions; they should be read with the detailed operating, balance-sheet and repayment schedules.</w:t>
      </w:r>
    </w:p>
    <w:p>
      <w:pPr>
        <w:pStyle w:val="Default"/>
        <w:spacing w:after="120"/>
        <w:jc w:val="both"/>
      </w:pPr>
      <w:r>
        <w:t xml:space="preserve">Thin wholesale margins make expiry losses, unsecured retailer credit and supplier concentration material risks. The firm mitigates these through stock ageing controls, account-wise limits, regular collections and multiple product principals. Promotional purchases require an identified sales outlet, and disputed supplier claims are excluded from routine cash-flow planning until settled. Prior to sanction or renewal, the bank should examine promoter contribution, premises arrangements, equipment quotations, customer demand, statutory permissions and the proposed security. Disbursement should follow documented end use and completion of the agreed conditions.</w:t>
      </w:r>
    </w:p>
    <w:p>
      <w:pPr>
        <w:pStyle w:val="Default"/>
        <w:spacing w:after="120"/>
        <w:jc w:val="both"/>
      </w:pPr>
      <w:r>
        <w:t xml:space="preserve">Management should provide periodic stock, debtor and operating statements and discuss material deviations with the lender. Expansion should remain within demonstrated operational capacity and available working capital. This assessment is conditional on execution of the operating plan and timely collections; it does not constitute a guarantee of sanction, future profit or uninterrupted debt service.</w:t>
      </w:r>
    </w:p>
    <w:p>
      <w:pPr>
        <w:pStyle w:val="Default"/>
        <w:spacing w:after="120"/>
        <w:jc w:val="both"/>
      </w:pPr>
      <w:r>
        <w:t xml:space="preserve">This is a sample report prepared with Finxora; the business and its figures are illustrative.</w:t>
      </w:r>
    </w:p>
    <w:p>
      <w:pPr>
        <w:spacing w:after="200"/>
      </w:pPr>
    </w:p>
    <w:p>
      <w:r>
        <w:br w:type="page"/>
      </w:r>
    </w:p>
    <w:p>
      <w:pPr>
        <w:pStyle w:val="sectionHeading"/>
        <w:spacing w:after="200"/>
        <w:jc w:val="center"/>
      </w:pPr>
      <w:r>
        <w:t xml:space="preserve">Operating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Gross 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Merchandise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Export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Add other revenue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Total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4,80,00,000.00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5,18,40,000.00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5,59,87,200.00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6,04,66,176.00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 Less excise duty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Deduct other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 Net Sales (item 1 - item 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4,80,00,000.00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5,18,40,000.00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5,59,87,200.00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6,04,66,176.00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 age rise (+) or fall (-) in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5. Cost of 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 Raw Material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3,92,02,191.78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3,86,56,175.34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4,17,48,669.37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4,50,88,562.92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4,86,95,647.95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Merchandise purchases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3,92,02,191.78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3,86,56,175.34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4,17,48,669.37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4,50,88,562.92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4,86,95,647.95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(ii) Other Consumables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(iii) 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(iv) Power and Fuel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Warehouse handling wages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10,36,800.00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11,19,744.00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12,09,323.52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13,06,069.40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distribution costs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(vii)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(viii) Sub Total (i to vii)</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4,30,42,191.78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4,23,85,775.34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4,54,17,357.37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4,87,41,469.96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5,23,74,403.75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(ix) Add: Opening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 Deduct: Closing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(xi) Cost of Production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4,30,42,191.78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4,23,85,775.34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4,54,17,357.37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4,87,41,469.96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5,23,74,403.75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(xii) Add : Opening Stock of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39,76,767.12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42,94,908.49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46,38,501.17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(xiii) Deduct: Closing stocks of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39,76,767.12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42,94,908.49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46,38,501.17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50,09,581.27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(Total Cost of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4,20,91,200.00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4,50,99,216.00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4,83,97,877.28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5,20,03,323.65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6. Selling, general and administrative exp.</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Salaries &amp; Wages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10,88,640.00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11,75,731.20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12,69,789.70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13,71,372.87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4,03,200.00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4,35,456.00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4,70,292.48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5,07,915.88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5,48,549.15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Advertising &amp; Marketing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3,62,880.00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3,91,910.40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4,23,263.23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4,57,124.29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Freight &amp; Transportation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3,62,880.00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3,91,910.40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4,23,263.23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4,57,124.29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Electricity &amp; Utilities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2,68,800.00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2,90,304.00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3,13,528.32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3,38,610.59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3,65,699.43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Travel &amp; Conveyance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2,01,600.00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2,17,728.00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2,35,146.24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2,53,957.94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2,74,274.57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Repairs &amp; Maintenance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2,01,600.00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2,17,728.00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2,35,146.24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2,53,957.94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2,74,274.57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Insurance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1,45,152.00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1,56,764.16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1,69,305.29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1,82,849.72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Professional &amp; Legal Fees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1,45,152.00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1,56,764.16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1,69,305.29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1,82,849.72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Communication (Phone, Internet)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1,08,864.00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1,17,573.12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1,26,978.97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1,37,137.29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Office Supplies &amp; Stationery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1,08,864.00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1,17,573.12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1,26,978.97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1,37,137.29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Charges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72,576.00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78,382.08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84,652.65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91,424.86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Selling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72,576.00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78,382.08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84,652.65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91,424.86</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Selling, general and administrative exp.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36,28,800.00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39,19,104.00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42,32,632.33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45,71,242.91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7. Sub Total (5+6)(Total Cost of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4,27,20,000.00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4,57,20,000.00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4,90,18,320.00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5,26,30,509.61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5,65,74,566.56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Operating Profit before Interest (3-7)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69,68,880.00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78,35,666.39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87,28,903.52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Interest on 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5,34,914.20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4,35,926.49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3,27,114.48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2,07,503.15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76,020.68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10. Operating profit after interest (8-9)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47,45,085.80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56,84,073.51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63,77,765.52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73,64,163.24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83,88,882.84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11. (i) Add other non-operating income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 Sub Total (Income)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(ii) Deduct other non-operation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II - Sub Total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III - Net of other non-operation income/exp. (I - II)</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12. Profit before tax [10+11(iii)]</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47,45,085.80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56,84,073.51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63,77,765.52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73,64,163.24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83,88,882.84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 Provision for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14,80,466.77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17,73,430.94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19,89,862.84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22,97,618.93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26,17,331.45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Deferred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14. Net Profit/loss (12-13)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32,64,619.03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39,10,642.57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43,87,902.68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50,66,544.31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 (a) Equity dividend paid -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16. Retained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17. Retained Profit/Net Profit (% Age)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NP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6.80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7.54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7.84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8.38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8.84</w:t>
            </w:r>
          </w:p>
        </w:tc>
      </w:tr>
    </w:tbl>
    <w:p>
      <w:pPr>
        <w:spacing w:after="400"/>
      </w:pPr>
    </w:p>
    <w:p>
      <w:r>
        <w:br w:type="page"/>
      </w:r>
    </w:p>
    <w:p>
      <w:pPr>
        <w:pStyle w:val="sectionHeading"/>
        <w:spacing w:after="200"/>
        <w:jc w:val="center"/>
      </w:pPr>
      <w:r>
        <w:t xml:space="preserve">Balance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Borrowing from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From Applicant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From Other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(of which OCC discount)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 Total(a)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26,40,000.00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26,40,000.00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 Short Term Borrowings From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 Sundry Creditor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24,32,876.71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26,27,506.85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28,37,707.40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30,64,723.99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33,09,901.91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Advance payments from customers/deposits from dealers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Provision for taxation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14,80,466.77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17,73,430.94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19,89,862.84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22,97,618.93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26,17,331.44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Dividend payable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Other statutory liabilities (plus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 Deposits/repayments of term loans (plus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10,96,369.31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12,05,181.32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13,24,792.65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9. Other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 Total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50,09,712.79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56,06,119.11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61,52,362.89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68,18,618.04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59,27,233.35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10. 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50,09,712.79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56,06,119.11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87,92,362.89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94,58,618.04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85,67,233.35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TERM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11.Debentures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12.Preference shares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13.Term loans(excl. old installments payable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39,86,249.09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27,81,067.77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14.Deferred Payment Credits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15.Long Term Advances (repayable after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17. TOTAL TERM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39,86,249.09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27,81,067.77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14,56,275.12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18. TOTAL OUTSIDE LIABILITIES (10+17)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89,95,961.88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83,87,186.88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1,02,48,638.01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94,58,618.04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85,67,233.35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NET WORTH</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1,30,21,388.08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1,67,36,498.52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2,09,05,006.06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2,57,18,223.17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21.Share application money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22.Other reserves (subsidy)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24.Surplus or deficit in Profit and loss A/c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25.Drawings (Withdrawal)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1,63,230.95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1,95,532.13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2,19,395.13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2,53,327.22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2,88,577.57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26. NET WORTH</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1,30,21,388.08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1,67,36,498.52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2,09,05,006.07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2,57,18,223.15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3,12,01,196.99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27. TOTAL LIABILITIES [18+26]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2,20,17,349.96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2,51,23,685.40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3,11,53,644.08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3,51,76,841.19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3,97,68,430.34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28.Cash and bank balances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3,09,952.70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44,62,096.36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1,12,62,247.92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1,58,07,977.34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2,06,97,517.58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29. Investments (other than long term Investments)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Government and other Trustee Securities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(ii)Fixed deposits with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30.(i) Receivables (Debtors &lt; 6 months) other than deferred and exports(including bills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42,60,821.92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46,01,687.67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49,69,822.68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53,67,408.50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(ii)Export receivables((including bills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 Instalments of deferred receivables(due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32. Inventory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 Raw Materials( including stores and other items used in the process of manufacture)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39,76,767.12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42,94,908.49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46,38,501.17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50,09,581.27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(iv) Other Consumables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(v) 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Inventory</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36,82,191.78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39,76,767.12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42,94,908.49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46,38,501.17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50,09,581.27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33.Advances to suppliers of raw material, stores and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34.Advance payment of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35. Other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Excise deposits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Int. receivable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Misc.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Other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36. TOTAL CURRENT ASSETS [total of 28 to 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79,37,349.96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1,26,99,685.40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2,01,58,844.08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2,54,16,301.19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3,10,74,507.35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FIXED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37.Gross Block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1,24,24,000.00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1,09,94,800.00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97,60,540.00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38.Depreciation to date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39. NET BLOCK (37-38)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1,40,80,000.00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1,24,24,000.00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1,09,94,800.00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97,60,540.00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86,93,923.00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OTHER NON-CURRENT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40. Investments/book debts/advances/deposits which are not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Investments made in subsidiary companies/affiliates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Advances to suppliers of capital goods and contractors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Deferred receivables (incl.inst due beyond one yr)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Debtors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Security Deposit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Investments etc.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41.Non-consumable stores and spares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43. TOTAL OTHER NON-CURRENT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 Intangible assets(patents, goodwill, prelim. expenses, bad/doubtful exp.not provided for, etc.)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45. TOTAL ASSETS [36+39+43+44]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2,20,17,349.96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2,51,23,685.40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3,11,53,644.08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3,51,76,841.19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3,97,68,430.35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46. TANGIBLE NET WORTH [26-44]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1,30,21,388.08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1,67,36,498.52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2,09,05,006.07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2,57,18,223.15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3,12,01,196.99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47. NET WORKING CAPITAL [(17+26)-(39+43+44)]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1,13,66,481.19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1,59,57,683.15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2,25,07,273.99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48. Current Ratio [36/10]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49. Total Outside Liabilities/Tangible Net Worth [18/46]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0.69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0.50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0.49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0.27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50. Total Term Liabilities/Tangible Net Worth [17/46]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0.17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Difference [27-45]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bl>
    <w:p>
      <w:pPr>
        <w:spacing w:after="400"/>
      </w:pPr>
    </w:p>
    <w:p>
      <w:r>
        <w:br w:type="page"/>
      </w:r>
    </w:p>
    <w:p>
      <w:pPr>
        <w:pStyle w:val="sectionHeading"/>
        <w:spacing w:after="200"/>
        <w:jc w:val="center"/>
      </w:pPr>
      <w:r>
        <w:t xml:space="preserve">Depreciation Chart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
        <w:gridCol w:w="12"/>
        <w:gridCol w:w="10"/>
        <w:gridCol w:w="10"/>
        <w:gridCol w:w="10"/>
        <w:gridCol w:w="10"/>
        <w:gridCol w:w="13"/>
      </w:tblGrid>
      <w:tr>
        <w:trPr>
          <w:tblHeader/>
          <w:trHeight w:val="400" w:hRule="atLeast"/>
        </w:trPr>
        <w:tc>
          <w:tcPr>
            <w:tcW w:type="pct" w:w="3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Rate</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3%"/>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Land</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Building</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29,16,000.00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26,24,400.00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29,16,000.00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26,24,400.00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2,91,600.00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2,62,440.00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29,16,000.00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26,24,400.00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23,61,960.00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Furniture &amp; Fixtures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6,48,000.00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5,83,200.00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5,24,880.00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6,48,000.00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5,83,200.00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5,24,880.00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64,800.00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58,320.00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52,488.00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6,48,000.00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5,83,200.00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5,24,880.00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4,72,392.00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Plant &amp; Machinery</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15%</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52,02,000.00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44,21,700.00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37,58,445.00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52,02,000.00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44,21,700.00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37,58,445.00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9,18,000.00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7,80,300.00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6,63,255.00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5,63,766.75</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52,02,000.00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44,21,700.00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37,58,445.00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31,94,678.25</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Vehicles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15%</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17,34,000.00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14,73,900.00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12,52,815.00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17,34,000.00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14,73,900.00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12,52,815.00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2,60,100.00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2,21,085.00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1,87,922.25</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17,34,000.00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14,73,900.00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12,52,815.00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10,64,892.75</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1,40,80,000.00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1,24,24,000.00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1,09,94,800.00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97,60,540.00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Gross Block</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1,40,80,000.00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1,24,24,000.00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1,09,94,800.00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97,60,540.00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1,40,80,000.00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1,24,24,000.00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1,09,94,800.00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97,60,540.00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86,93,923.00</w:t>
            </w:r>
          </w:p>
        </w:tc>
      </w:tr>
    </w:tbl>
    <w:p>
      <w:pPr>
        <w:spacing w:after="400"/>
      </w:pPr>
    </w:p>
    <w:p>
      <w:r>
        <w:br w:type="page"/>
      </w:r>
    </w:p>
    <w:p>
      <w:pPr>
        <w:pStyle w:val="sectionHeading"/>
        <w:spacing w:after="200"/>
        <w:jc w:val="center"/>
      </w:pPr>
      <w:r>
        <w:t xml:space="preserve">Comparative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Raw Materials( including stores and other used in the process of mfg)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2. Other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5.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39,76,767.12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42,94,908.49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46,38,501.17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50,09,581.27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Receivables other than export and deferred receivables(Including bill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42,60,821.92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46,01,687.67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49,69,822.68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53,67,408.50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7. Export receivables(include bill purchased and discount)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Advances to Supplier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9. Other Current Assets (specify major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Cash and Bank Balance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3,09,952.70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44,62,096.36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1,12,62,247.92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1,58,07,977.34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2,06,97,517.58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Investment except long term</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Installment of Deferred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Advance Payment of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10. TOTAL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79,37,349.96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1,26,99,685.40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2,01,58,844.08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2,54,16,301.19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3,10,74,507.35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than bank borrowings for 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11. Creditors for purchase of raw materials, stores and consumable spares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24,32,876.71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26,27,506.85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28,37,707.40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30,64,723.99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33,09,901.91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12. Advance from Customers/ SD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13. Statutory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14,80,466.77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17,73,430.94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19,89,862.84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22,97,618.93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26,17,331.44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14. Other Current liabilities-specify major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10,96,369.31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12,05,181.32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13,24,792.65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S.T. borrowings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Dividend Payable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Installment of TL,DGP and Public Deposits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10,96,369.31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12,05,181.32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13,24,792.65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Other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15. 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50,09,712.79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56,06,119.11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61,52,362.89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68,18,618.04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59,27,233.35</w:t>
            </w:r>
          </w:p>
        </w:tc>
      </w:tr>
    </w:tbl>
    <w:p>
      <w:pPr>
        <w:spacing w:after="400"/>
      </w:pPr>
    </w:p>
    <w:p>
      <w:r>
        <w:br w:type="page"/>
      </w:r>
    </w:p>
    <w:p>
      <w:pPr>
        <w:pStyle w:val="sectionHeading"/>
        <w:spacing w:after="200"/>
        <w:jc w:val="center"/>
      </w:pPr>
      <w:r>
        <w:t xml:space="preserve">Ratio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GROSS PROFIT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PROFIT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8.84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STOCK</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Stock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39,76,767.12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42,94,908.49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46,38,501.17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50,09,581.27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Debtors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42,60,821.92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46,01,687.67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49,69,822.68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53,67,408.50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Less: Creditors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24,32,876.71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26,27,506.85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28,37,707.40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30,64,723.99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33,09,901.91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PAID STOCK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51,94,520.55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56,10,082.19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60,58,888.76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65,43,599.86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70,67,087.86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Margin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51,94,520.55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56,10,082.19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60,58,888.76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65,43,599.86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70,67,087.86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Loan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Export Debtors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Margin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51,94,520.55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56,10,082.19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60,58,888.76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65,43,599.86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70,67,087.86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MPBF</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of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2,20,17,349.96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2,51,23,685.40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3,11,53,644.08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3,51,76,841.19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3,97,68,430.34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of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2,20,17,349.96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2,51,23,685.40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3,11,53,644.08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3,51,76,841.19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3,97,68,430.35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Difference in B/S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TOL/TNW</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0.27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TTL/TNW</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KEY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Sales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Profit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Worth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21.32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LIQUIDITY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Quick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EFFICIENCY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Stock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13.54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Fixed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PROFITABILITY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Manufacturing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Indirect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Finance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0.52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Non Operating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Return on Capital Employed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18.50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SOLVENCY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Debt-Equity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DSCR (Debt Service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ADDITIONAL INFORMATION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Tangible Net Worth</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1,30,21,388.08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1,67,36,498.52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2,09,05,006.07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2,57,18,223.15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3,12,01,196.99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Long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39,86,249.09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27,81,067.77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Block of Fixed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1,24,24,000.00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1,09,94,800.00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97,60,540.00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86,93,923.00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Non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1,13,66,481.19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1,59,57,683.15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2,25,07,273.99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Cash Accruals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55,66,642.57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58,17,102.68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63,00,804.31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68,38,168.39</w:t>
            </w:r>
          </w:p>
        </w:tc>
      </w:tr>
    </w:tbl>
    <w:p>
      <w:pPr>
        <w:spacing w:after="400"/>
      </w:pPr>
    </w:p>
    <w:p>
      <w:r>
        <w:br w:type="page"/>
      </w:r>
    </w:p>
    <w:p>
      <w:pPr>
        <w:pStyle w:val="sectionHeading"/>
        <w:spacing w:after="200"/>
        <w:jc w:val="center"/>
      </w:pPr>
      <w:r>
        <w:t xml:space="preserve">Graphical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
        <w:gridCol w:w="50"/>
      </w:tblGrid>
      <w:tr>
        <w:tc>
          <w:tcPr>
            <w:tcBorders>
              <w:top w:val="none"/>
              <w:left w:val="none"/>
              <w:bottom w:val="none"/>
              <w:right w:val="none"/>
            </w:tcBorders>
          </w:tcPr>
          <w:p>
            <w:pPr>
              <w:pStyle w:val="Default"/>
              <w:spacing w:after="100"/>
              <w:jc w:val="center"/>
            </w:pPr>
            <w:r>
              <w:t xml:space="preserve">Sales And Profitability</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Balance Sheet Strength</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Liquidity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Profitability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Leverage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Working Capital Turnover</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Solvency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Efficiency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333750" cy="1666875"/>
                          </a:xfrm>
                          <a:prstGeom prst="rect">
                            <a:avLst/>
                          </a:prstGeom>
                        </pic:spPr>
                      </pic:pic>
                    </a:graphicData>
                  </a:graphic>
                </wp:inline>
              </w:drawing>
            </w:r>
          </w:p>
        </w:tc>
      </w:tr>
    </w:tbl>
    <w:p>
      <w:r>
        <w:br w:type="page"/>
      </w:r>
    </w:p>
    <w:p>
      <w:pPr>
        <w:pStyle w:val="sectionHeading"/>
        <w:spacing w:after="200"/>
        <w:jc w:val="center"/>
      </w:pPr>
      <w:r>
        <w:t xml:space="preserve">Turnover Method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Turnover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25.00% of (A)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1,29,60,000.00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1,39,96,800.00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1,51,16,544.00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1,63,25,867.52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 Margin Required at 5.00% of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24,00,000.00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25,92,000.00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27,99,360.00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30,23,308.80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32,65,173.50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Margin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1,13,66,481.19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1,59,57,683.15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2,25,07,273.99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E. (B -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96,00,000.00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1,03,68,000.00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1,11,97,440.00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1,20,93,235.20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1,30,60,694.02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(B -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90,72,362.83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58,66,433.71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26,30,318.81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-8,41,139.15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-61,81,406.47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 Permissible Bank Finance under Turnover Method (B - 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96,00,000.00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1,03,68,000.00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1,11,97,440.00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1,20,93,235.20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1,30,60,694.02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 Proposed / Existing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Excess Borrowing over Turnover Method Finance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bl>
    <w:p>
      <w:pPr>
        <w:spacing w:after="400"/>
      </w:pPr>
    </w:p>
    <w:p>
      <w:r>
        <w:br w:type="page"/>
      </w:r>
    </w:p>
    <w:p>
      <w:pPr>
        <w:pStyle w:val="sectionHeading"/>
        <w:spacing w:after="200"/>
        <w:jc w:val="center"/>
      </w:pPr>
      <w:r>
        <w:t xml:space="preserve">MPBF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FIRST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79,37,349.96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1,26,99,685.40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2,01,58,844.08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2,54,16,301.19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3,10,74,507.35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50,09,712.79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56,06,119.11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61,52,362.89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68,18,618.04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59,27,233.35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1,85,97,683.15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2,51,47,274.00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WCG excluding export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7,31,909.29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17,73,391.57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35,01,620.30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46,49,420.79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62,86,818.50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1,13,66,481.19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1,59,57,683.15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2,25,07,273.99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21,95,727.88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53,20,174.72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1,05,04,860.89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1,39,48,262.36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1,88,60,455.50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SECOND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79,37,349.96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1,26,99,685.40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2,01,58,844.08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2,54,16,301.19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3,10,74,507.35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50,09,712.79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56,06,119.11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61,52,362.89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68,18,618.04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59,27,233.35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1,85,97,683.15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2,51,47,274.00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Total of Current Assets excluding export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19,84,337.49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31,74,921.35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50,39,711.02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63,54,075.30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77,68,626.84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29,27,637.17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70,93,566.29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1,13,66,481.19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1,59,57,683.15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2,25,07,273.99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9,43,299.68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39,18,644.94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89,66,770.17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1,22,43,607.85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1,73,78,647.16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bl>
    <w:p>
      <w:pPr>
        <w:spacing w:after="400"/>
      </w:pPr>
    </w:p>
    <w:p>
      <w:r>
        <w:br w:type="page"/>
      </w:r>
    </w:p>
    <w:p>
      <w:pPr>
        <w:pStyle w:val="sectionHeading"/>
        <w:spacing w:after="200"/>
        <w:jc w:val="center"/>
      </w:pPr>
      <w:r>
        <w:t xml:space="preserve">Fund Flow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5"/>
        <w:gridCol w:w="15"/>
        <w:gridCol w:w="15"/>
        <w:gridCol w:w="15"/>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SOURCES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Net Profit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Depreciation</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Increase in Capital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Increase in term liabilities, including public deposit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Decrease in Other Non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Other (income tax w/o)</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 Share application refund</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(h) 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55,66,642.57</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58,17,102.68</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63,00,804.31</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68,38,168.41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USE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Purchase of Fixed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Net loss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Decrease in capital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Decrease in term liabilities, including public deposits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12,05,181.32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13,24,792.65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Increase in Other non-current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Dividend / Drawings / Withdrawals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1,95,532.13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2,19,395.13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2,53,327.22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2,88,577.57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 Others (share application)</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(h) Decrease in general reserve (net Deferred tax)</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(i) 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14,00,713.45</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15,44,187.78</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17,09,602.35</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2,88,577.57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LONG TERM SURPLUS/DEFICIT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41,65,929.12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42,72,914.90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45,91,201.96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65,49,590.84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Increase / Decrease in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47,62,335.44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74,59,158.68</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52,57,457.11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56,58,206.16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Increase / Decrease in Current Liabilities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5,96,406.32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5,46,243.78</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6,66,255.15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-8,91,384.69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Increase / Decrease in Working Capital gap</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41,65,929.12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69,12,914.90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45,91,201.96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65,49,590.85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7. Net Surplus / Deficit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 Increase / Decrease in Bank Borrowings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INCREASE / DECREASE IN NET SALES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38,40,000.00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41,47,200.00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44,78,976.00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48,37,294.08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*Break-Up of (4)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 Increase / Decrease in Raw Material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(ii) Increase / Decrease in Stock in Process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(iii) Increase / Decrease in Finished Goods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2,94,575.34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3,18,141.37</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3,43,592.68</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3,71,080.10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(iv) Increase / Decrease in receivables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Domestic</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3,15,616.44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3,40,865.75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3,68,135.01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3,97,585.82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Export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(v) Increase / Decrease in consumables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Imported</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Indigenous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(vi) Increase / Decrease in Direct Expenses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(vii) Increase / Decrease in other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41,52,143.66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68,00,151.56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45,45,729.42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48,89,540.24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47,62,335.44</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74,59,158.68</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52,57,457.11</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56,58,206.16</w:t>
            </w:r>
          </w:p>
        </w:tc>
      </w:tr>
    </w:tbl>
    <w:p>
      <w:pPr>
        <w:spacing w:after="400"/>
      </w:pPr>
    </w:p>
    <w:p>
      <w:r>
        <w:br w:type="page"/>
      </w:r>
    </w:p>
    <w:p>
      <w:pPr>
        <w:pStyle w:val="sectionHeading"/>
        <w:spacing w:after="200"/>
        <w:jc w:val="center"/>
      </w:pPr>
      <w:r>
        <w:t xml:space="preserve">Cash Flow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SOURCES OF FUNDS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 Deferred Tax Provision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3a. Current Tax Provision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14,80,466.77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17,73,430.94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19,89,862.84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22,97,618.93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26,17,331.45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4. Increase in Capital (excl. reserves carry forward)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5. Increase in Other Reserves/Surplus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6. Increase in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50,82,618.40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7. Increase in Bank WC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8. Increase in other short term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9. Increase in Creditors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24,32,876.71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1,94,630.14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2,10,200.55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2,27,016.59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2,45,177.92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10. Increase in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11. Decrease in Inventory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12. Decrease in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13. Decrease in other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14. Decrease in 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SOURCES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2,41,00,580.91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75,34,703.65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1,06,57,166.07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88,25,439.83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97,00,677.78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USES OF FUNDS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Net Loss (if any)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Increase in Inventory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2,94,575.34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3,18,141.37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3,43,592.68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3,71,080.10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 Increase in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39,45,205.48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3,15,616.44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3,40,865.75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3,68,135.01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3,97,585.82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4. Increase in other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5. Decrease in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6. Decrease in Other Reserves/Surplus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7. Decrease in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10,96,369.31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12,05,181.32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13,24,792.65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8. Decrease in Bank WC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9. Decrease in other short term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10. Decrease in Creditors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11. Decrease in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12. Purchase of Fixed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13. Increase in 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14. Drawings / Dividends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1,63,230.95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1,95,532.13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2,19,395.13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2,53,327.22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2,88,577.57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15. Taxes Paid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14,80,466.77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17,73,430.94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19,89,862.84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22,97,618.94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USES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2,37,90,628.21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33,82,559.99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38,57,014.51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42,79,710.41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48,11,137.55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C. NET CASH FLOW (A -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3,09,952.70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41,52,143.66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68,00,151.56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45,45,729.42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48,89,540.23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OPENING CASH AND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3,09,952.70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44,62,096.36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1,12,62,247.92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1,58,07,977.34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 CLOSING CASH AND BANK (C +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3,09,952.70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44,62,096.36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1,12,62,247.92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1,58,07,977.34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2,06,97,517.57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CASH AS PER BALANCE SHEET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3,09,952.70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44,62,096.36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1,12,62,247.92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1,58,07,977.34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2,06,97,517.58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 DIFFERENCE (E - F)</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bl>
    <w:p>
      <w:pPr>
        <w:spacing w:after="400"/>
      </w:pPr>
    </w:p>
    <w:p>
      <w:r>
        <w:br w:type="page"/>
      </w:r>
    </w:p>
    <w:p>
      <w:pPr>
        <w:pStyle w:val="sectionHeading"/>
        <w:spacing w:after="200"/>
        <w:jc w:val="center"/>
      </w:pPr>
      <w:r>
        <w:t xml:space="preserve">DSCR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CASH ACCRUALS (Source)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Interest on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5,34,914.20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4,35,926.49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3,27,114.48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2,07,503.15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76,020.68</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57,19,533.23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60,02,569.06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61,44,217.16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65,08,307.46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69,14,189.07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DEBT OBLIGATIONS (Uses)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5,34,914.20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4,35,926.49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3,27,114.48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2,07,503.15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76,020.68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Repayment of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9,97,381.60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10,96,369.31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12,05,181.32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13,24,792.65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14,56,275.12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15,32,295.80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15,32,295.80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15,32,295.80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15,32,295.80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15,32,295.80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 (A /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Average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4.08</w:t>
            </w:r>
          </w:p>
        </w:tc>
      </w:tr>
    </w:tbl>
    <w:p>
      <w:pPr>
        <w:spacing w:after="400"/>
      </w:pPr>
    </w:p>
    <w:p>
      <w:r>
        <w:br w:type="page"/>
      </w:r>
    </w:p>
    <w:p>
      <w:pPr>
        <w:pStyle w:val="sectionHeading"/>
        <w:spacing w:after="200"/>
        <w:jc w:val="center"/>
      </w:pPr>
      <w:r>
        <w:t xml:space="preserve">Breakeven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Variable Costs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3,92,02,191.78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3,86,56,175.34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4,17,48,669.37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4,50,88,562.92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4,86,95,647.95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Other Consumables &amp; Packing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Power and Fuel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(iv) Direct Labour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10,36,800.00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11,19,744.00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12,09,323.52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13,06,069.40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 Variable Mfg &amp; Selling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2,79,936.00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3,02,330.88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3,26,517.35</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Total Variable Costs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4,08,82,191.78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4,04,70,575.34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4,37,08,221.37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4,72,04,879.08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5,09,81,269.40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Contribution (1 - 2)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71,17,808.22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1,13,69,424.66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1,22,78,978.63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1,32,61,296.92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1,43,22,200.68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 Fixed Costs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Admin &amp; Fixed Selling Exp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38,88,000.00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41,99,040.00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45,34,963.21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48,97,760.26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12,34,260.00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10,66,617.00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Total Fixed Costs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55,20,000.00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55,44,000.00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56,28,240.00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57,69,223.21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59,64,377.26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5. Breakeven Point (Sales Value)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3,72,24,942.26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2,52,78,408.42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2,56,62,508.91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2,63,05,335.60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2,71,95,159.50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Breakeven % (on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77.55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41.64</w:t>
            </w:r>
          </w:p>
        </w:tc>
      </w:tr>
    </w:tbl>
    <w:p>
      <w:pPr>
        <w:spacing w:after="400"/>
      </w:pPr>
    </w:p>
    <w:p>
      <w:r>
        <w:br w:type="page"/>
      </w:r>
    </w:p>
    <w:p>
      <w:pPr>
        <w:pStyle w:val="sectionHeading"/>
        <w:spacing w:after="200"/>
        <w:jc w:val="center"/>
      </w:pPr>
      <w:r>
        <w:t xml:space="preserve">Sensitivity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BASE CASE (PROJECTIONS)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32,64,619.03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39,10,642.57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43,87,902.68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50,66,544.31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57,71,551.39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SALES DECREASE BY 10%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4,32,00,000.00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4,66,56,000.00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5,03,88,480.00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5,44,19,558.40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5,87,73,123.07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25,28,838.21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27,47,780.10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31,32,011.22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37,10,181.53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43,06,679.58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 RAW MATERIAL/CONSUMABLE COST INCREASE BY 10%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 (Unchanged)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-6,55,600.15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45,025.04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2,13,035.74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5,57,688.02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9,01,986.59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 INTEREST RATE INCREASE BY 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 (Unchanged)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5,59,87,200.00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6,04,66,176.00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6,53,03,470.08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31,71,597.45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38,34,834.95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42,85,107.87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49,84,549.91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57,12,421.79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4.44</w:t>
            </w:r>
          </w:p>
        </w:tc>
      </w:tr>
    </w:tbl>
    <w:p>
      <w:pPr>
        <w:spacing w:after="400"/>
      </w:pPr>
    </w:p>
    <w:p>
      <w:r>
        <w:br w:type="page"/>
      </w:r>
    </w:p>
    <w:p>
      <w:pPr>
        <w:pStyle w:val="sectionHeading"/>
        <w:spacing w:after="200"/>
        <w:jc w:val="center"/>
      </w:pPr>
      <w:r>
        <w:t xml:space="preserve">EMI Repayment Schedule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60,80,000.00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79,557.98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48,133.33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60,00,442.02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60,00,442.02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80,187.82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47,503.50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59,20,254.20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59,20,254.20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80,822.64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46,868.68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58,39,431.56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58,39,431.56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81,462.48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46,228.83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57,57,969.08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57,57,969.08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82,107.39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45,583.92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56,75,861.68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56,75,861.68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82,757.41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44,933.90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55,93,104.27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55,93,104.27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83,412.57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44,278.74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55,09,691.70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55,09,691.70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84,072.92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43,618.39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54,25,618.77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54,25,618.77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84,738.50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42,952.82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53,40,880.27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53,40,880.27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85,409.35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42,281.97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52,55,470.92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52,55,470.92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86,085.51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41,605.81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51,69,385.42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51,69,385.42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86,767.02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40,924.30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50,82,618.40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50,82,618.40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87,453.92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40,237.40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49,95,164.48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49,95,164.48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88,146.26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39,545.05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49,07,018.22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49,07,018.22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88,844.09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38,847.23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48,18,174.13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48,18,174.13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89,547.44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38,143.88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47,28,626.69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47,28,626.69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90,256.36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37,434.96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46,38,370.33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46,38,370.33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90,970.88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36,720.43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45,47,399.45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45,47,399.45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91,691.07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36,000.25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44,55,708.38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44,55,708.38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92,416.96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35,274.36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43,63,291.42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43,63,291.42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93,148.59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34,542.72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42,70,142.83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42,70,142.83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93,886.02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33,805.30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41,76,256.81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41,76,256.81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94,629.28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33,062.03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40,81,627.52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40,81,627.52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95,378.43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32,312.88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39,86,249.09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39,86,249.09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96,133.51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31,557.81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38,90,115.58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38,90,115.58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96,894.57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30,796.75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37,93,221.01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37,93,221.01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97,661.65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30,029.67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36,95,559.36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36,95,559.36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98,434.81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29,256.51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35,97,124.55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35,97,124.55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99,214.08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28,477.24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34,97,910.47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34,97,910.47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99,999.53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27,691.79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33,97,910.95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33,97,910.95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1,00,791.19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26,900.13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32,97,119.76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32,97,119.76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1,01,589.12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26,102.20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31,95,530.64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31,95,530.64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1,02,393.37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25,297.95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30,93,137.28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30,93,137.28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1,03,203.98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24,487.34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29,89,933.30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29,89,933.30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1,04,021.01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23,670.31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28,85,912.28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28,85,912.28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1,04,844.51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22,846.81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27,81,067.77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27,81,067.77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1,05,674.53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22,016.79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26,75,393.24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26,75,393.24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1,06,511.12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21,180.20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25,68,882.12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25,68,882.12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1,07,354.33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20,336.98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24,61,527.79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24,61,527.79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1,08,204.22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19,487.09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23,53,323.57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23,53,323.57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1,09,060.84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18,630.48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22,44,262.73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22,44,262.73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1,09,924.24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17,767.08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21,34,338.49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21,34,338.49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1,10,794.47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16,896.85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20,23,544.02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20,23,544.02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1,11,671.59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16,019.72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19,11,872.43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19,11,872.43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1,12,555.66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15,135.66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17,99,316.77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17,99,316.77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1,13,446.73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14,244.59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16,85,870.04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16,85,870.04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1,14,344.85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13,346.47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15,71,525.20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15,71,525.20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1,15,250.08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12,441.24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14,56,275.12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14,56,275.12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1,16,162.47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11,528.84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13,40,112.65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13,40,112.65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1,17,082.09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10,609.23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12,23,030.56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12,23,030.56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1,18,008.99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9,682.33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11,05,021.57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11,05,021.57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1,18,943.23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8,748.09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9,86,078.34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9,86,078.34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1,19,884.86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7,806.45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8,66,193.47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8,66,193.47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1,20,833.95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6,857.37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7,45,359.52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7,45,359.52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1,21,790.55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5,900.76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6,23,568.97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6,23,568.97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1,22,754.73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4,936.59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5,00,814.24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5,00,814.24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1,23,726.54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3,964.78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3,77,087.70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3,77,087.70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1,24,706.04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2,985.28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2,52,381.66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2,52,381.66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1,25,693.30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1,998.02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1,26,688.37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1,26,688.37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1,27,691.32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1,26,688.37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1,002.95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sectPr>
      <w:footerReference w:type="default" r:id="rId6"/>
      <w:pgSz w:w="11906" w:h="16838" w:orient="portrait"/>
      <w:pgMar w:top="720" w:right="720" w:bottom="720" w:left="720" w:header="708" w:footer="708" w:gutter="0"/>
      <w:pgBorders w:display="allPages" w:offsetFrom="page" w:zOrder="front"/>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documentProtection w:edit="readOnly" w:enforcement="1" w:cryptProviderType="rsaFull" w:hash="1Tiy+Xa1a9R9o1lKk+q6xQ==" w:salt="U1VjTHBvQWZJbGZrZ3Z5aA==" w:cryptAlgorithmType="typeAES" w:cryptAlgorithmSid="14" w:cryptSpinCount="10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0pt"/>
        <w:szCs w:val="10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rPr>
      <w:sz w:val="10pt"/>
      <w:szCs w:val="10pt"/>
      <w:rFonts w:ascii="Calibri" w:cs="Calibri" w:eastAsia="Calibri" w:hAnsi="Calibri"/>
    </w:rPr>
  </w:style>
  <w:style w:type="paragraph" w:styleId="Strong">
    <w:name w:val="Strong"/>
    <w:basedOn w:val="Normal"/>
    <w:rPr>
      <w:b/>
      <w:bCs/>
      <w:sz w:val="10pt"/>
      <w:szCs w:val="10pt"/>
      <w:rFonts w:ascii="Calibri" w:cs="Calibri" w:eastAsia="Calibri" w:hAnsi="Calibri"/>
    </w:rPr>
  </w:style>
  <w:style w:type="paragraph" w:styleId="TableHeaderStyle">
    <w:name w:val="Table Header Style"/>
    <w:basedOn w:val="Normal"/>
    <w:rPr>
      <w:b/>
      <w:bCs/>
      <w:sz w:val="10pt"/>
      <w:szCs w:val="10pt"/>
      <w:rFonts w:ascii="Calibri" w:cs="Calibri" w:eastAsia="Calibri" w:hAnsi="Calibri"/>
    </w:rPr>
  </w:style>
  <w:style w:type="paragraph" w:styleId="sectionHeading">
    <w:name w:val="Section Heading"/>
    <w:basedOn w:val="Normal"/>
    <w:pPr>
      <w:spacing w:before="240" w:after="120"/>
    </w:pPr>
    <w:rPr>
      <w:b/>
      <w:bCs/>
      <w:color w:val="475569"/>
      <w:sz w:val="14pt"/>
      <w:szCs w:val="14pt"/>
      <w:rFonts w:ascii="Calibri" w:cs="Calibri" w:eastAsia="Calibri" w:hAnsi="Calibri"/>
    </w:rPr>
  </w:style>
  <w:style w:type="paragraph" w:styleId="docTitle">
    <w:name w:val="Document Title"/>
    <w:basedOn w:val="Normal"/>
    <w:pPr>
      <w:spacing w:before="240" w:after="240"/>
    </w:pPr>
    <w:rPr>
      <w:b/>
      <w:bCs/>
      <w:color w:val="475569"/>
      <w:sz w:val="18pt"/>
      <w:szCs w:val="18pt"/>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dmrnkl7qdale9pix5ppoc.png"/><Relationship Id="rId8" Type="http://schemas.openxmlformats.org/officeDocument/2006/relationships/image" Target="media/j5ujuxc2r8ppzv3v1ca8t.png"/><Relationship Id="rId9" Type="http://schemas.openxmlformats.org/officeDocument/2006/relationships/image" Target="media/f8boeapyafnvieow0fxge.png"/><Relationship Id="rId10" Type="http://schemas.openxmlformats.org/officeDocument/2006/relationships/image" Target="media/qk1v8pmr0g1lmikpxzo8d.png"/><Relationship Id="rId11" Type="http://schemas.openxmlformats.org/officeDocument/2006/relationships/image" Target="media/3fsh0mjhv3i1nad1shiga.png"/><Relationship Id="rId12" Type="http://schemas.openxmlformats.org/officeDocument/2006/relationships/image" Target="media/kob2unt5u8wdmqtkdqofk.png"/><Relationship Id="rId13" Type="http://schemas.openxmlformats.org/officeDocument/2006/relationships/image" Target="media/3v_obb9ko5xun2jno63zn.png"/><Relationship Id="rId14" Type="http://schemas.openxmlformats.org/officeDocument/2006/relationships/image" Target="media/hw5s8coxtozvklktoxuvi.png"/><Relationship Id="rId15" Type="http://schemas.openxmlformats.org/officeDocument/2006/relationships/image" Target="media/nhhmkmvg156bfxnsor300.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2026-10-10T14:22:28.459Z</dcterms:created>
  <dcterms:modified xsi:type="dcterms:W3CDTF">2026-10-10T14:22:28.459Z</dcterms:modified>
</cp:coreProperties>
</file>

<file path=docProps/custom.xml><?xml version="1.0" encoding="utf-8"?>
<Properties xmlns="http://schemas.openxmlformats.org/officeDocument/2006/custom-properties" xmlns:vt="http://schemas.openxmlformats.org/officeDocument/2006/docPropsVTypes"/>
</file>