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500"/>
      </w:pPr>
    </w:p>
    <w:p>
      <w:pPr>
        <w:spacing w:after="500"/>
        <w:jc w:val="center"/>
      </w:pPr>
      <w:r>
        <w:drawing>
          <wp:inline distT="0" distB="0" distL="0" distR="0">
            <wp:extent cx="42862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857500"/>
                    </a:xfrm>
                    <a:prstGeom prst="rect">
                      <a:avLst/>
                    </a:prstGeom>
                  </pic:spPr>
                </pic:pic>
              </a:graphicData>
            </a:graphic>
          </wp:inline>
        </w:drawing>
      </w:r>
    </w:p>
    <w:p>
      <w:pPr>
        <w:spacing w:after="1200" w:before="500"/>
        <w:jc w:val="center"/>
      </w:pPr>
      <w:r>
        <w:rPr>
          <w:b/>
          <w:bCs/>
          <w:sz w:val="48"/>
          <w:szCs w:val="48"/>
          <w:rFonts w:ascii="Arial" w:cs="Arial" w:eastAsia="Arial" w:hAnsi="Arial"/>
        </w:rPr>
        <w:t xml:space="preserve">Credit Monitoring Analysis (C M A)</w:t>
      </w:r>
    </w:p>
    <w:p>
      <w:pPr>
        <w:spacing w:after="1000" w:before="1000"/>
        <w:jc w:val="center"/>
      </w:pPr>
      <w:r>
        <w:rPr>
          <w:sz w:val="36"/>
          <w:szCs w:val="36"/>
          <w:rFonts w:ascii="Arial" w:cs="Arial" w:eastAsia="Arial" w:hAnsi="Arial"/>
        </w:rPr>
        <w:t xml:space="preserve">Of</w:t>
      </w:r>
    </w:p>
    <w:p>
      <w:pPr>
        <w:spacing w:after="300" w:before="0"/>
        <w:jc w:val="center"/>
      </w:pPr>
      <w:r>
        <w:rPr>
          <w:b/>
          <w:bCs/>
          <w:sz w:val="60"/>
          <w:szCs w:val="60"/>
          <w:rFonts w:ascii="Arial" w:cs="Arial" w:eastAsia="Arial" w:hAnsi="Arial"/>
        </w:rPr>
        <w:t xml:space="preserve">FINXORA LOGISTICS</w:t>
      </w:r>
    </w:p>
    <w:p>
      <w:pPr>
        <w:spacing w:before="100" w:after="100"/>
        <w:jc w:val="center"/>
      </w:pPr>
      <w:r>
        <w:rPr>
          <w:sz w:val="28"/>
          <w:szCs w:val="28"/>
          <w:rFonts w:ascii="Arial" w:cs="Arial" w:eastAsia="Arial" w:hAnsi="Arial"/>
        </w:rPr>
        <w:t xml:space="preserve">Proprietor: Aarav Mehta (Male, General)</w:t>
      </w:r>
    </w:p>
    <w:p>
      <w:pPr>
        <w:spacing w:before="50" w:after="50"/>
        <w:jc w:val="center"/>
      </w:pPr>
      <w:r>
        <w:rPr>
          <w:sz w:val="24"/>
          <w:szCs w:val="24"/>
          <w:rFonts w:ascii="Arial" w:cs="Arial" w:eastAsia="Arial" w:hAnsi="Arial"/>
        </w:rPr>
        <w:t xml:space="preserve">GST No.: 23AAAPF0000A1Z5</w:t>
      </w:r>
    </w:p>
    <w:p>
      <w:pPr>
        <w:spacing w:before="50" w:after="50"/>
        <w:jc w:val="center"/>
      </w:pPr>
      <w:r>
        <w:rPr>
          <w:sz w:val="24"/>
          <w:szCs w:val="24"/>
          <w:rFonts w:ascii="Arial" w:cs="Arial" w:eastAsia="Arial" w:hAnsi="Arial"/>
        </w:rPr>
        <w:t xml:space="preserve">UDYAM No.: UDYAM-MP-00-0000000</w:t>
      </w:r>
    </w:p>
    <w:p>
      <w:pPr>
        <w:spacing w:before="150" w:after="150"/>
        <w:jc w:val="center"/>
      </w:pPr>
      <w:r>
        <w:rPr>
          <w:b/>
          <w:bCs/>
          <w:sz w:val="28"/>
          <w:szCs w:val="28"/>
          <w:rFonts w:ascii="Arial" w:cs="Arial" w:eastAsia="Arial" w:hAnsi="Arial"/>
        </w:rPr>
        <w:t xml:space="preserve">For Term Loan of 55,00,000.00 /- and CC of 11,20,000.00 /-</w:t>
      </w:r>
    </w:p>
    <w:p>
      <w:pPr>
        <w:spacing w:after="3300"/>
      </w:pPr>
    </w:p>
    <w:p>
      <w:pPr>
        <w:sectPr>
          <w:pgSz w:w="11906" w:h="16838" w:orient="portrait"/>
          <w:pgMar w:top="720" w:right="720" w:bottom="720" w:left="720" w:header="708" w:footer="708" w:gutter="0"/>
          <w:pgNumType/>
          <w:docGrid w:linePitch="360"/>
        </w:sectPr>
      </w:pPr>
    </w:p>
    <w:p>
      <w:pPr>
        <w:spacing w:after="300" w:before="200"/>
        <w:jc w:val="center"/>
      </w:pPr>
      <w:r>
        <w:rPr>
          <w:b/>
          <w:bCs/>
          <w:color w:val="475569"/>
          <w:sz w:val="18pt"/>
          <w:szCs w:val="18pt"/>
          <w:rFonts w:ascii="Calibri" w:cs="Calibri" w:eastAsia="Calibri" w:hAnsi="Calibri"/>
        </w:rPr>
        <w:t xml:space="preserve">INDEX</w:t>
      </w:r>
    </w:p>
    <w:sdt>
      <w:sdtPr>
        <w:alias w:val="Table of Contents"/>
      </w:sdtPr>
      <w:sdtContent>
        <w:p>
          <w:r>
            <w:fldChar w:fldCharType="begin" w:dirty="true"/>
            <w:instrText xml:space="preserve">TOC \h \t "docTitle,1,sectionHeading,1"</w:instrText>
            <w:fldChar w:fldCharType="separate"/>
          </w:r>
        </w:p>
        <w:p>
          <w:r>
            <w:fldChar w:fldCharType="end"/>
          </w:r>
        </w:p>
      </w:sdtContent>
    </w:sdt>
    <w:p>
      <w:r>
        <w:br w:type="page"/>
      </w:r>
    </w:p>
    <w:p>
      <w:pPr>
        <w:pStyle w:val="docTitle"/>
        <w:spacing w:after="300" w:before="200"/>
        <w:jc w:val="center"/>
      </w:pPr>
      <w:r>
        <w:t xml:space="preserve">COMPANY PROFILE</w:t>
      </w:r>
    </w:p>
    <w:p>
      <w:pPr>
        <w:pStyle w:val="sectionHeading"/>
        <w:spacing w:after="150" w:before="150"/>
        <w:jc w:val="left"/>
      </w:pPr>
      <w:r>
        <w:t xml:space="preserve">I. Company Information</w:t>
      </w:r>
    </w:p>
    <w:tbl>
      <w:tblPr>
        <w:tblW w:type="pct" w:w="9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Name of the Company/Firm</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FINXORA LOGISTICS</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Proprietor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(Male, General)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Constitution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proprietorship</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Address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Plot 12, Industrial Area, Indore, Madhya Pradesh 452001</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PAN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AAAPF0000A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Date of Incorporation/Birth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Industry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Transport and logistics service</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Type of Business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service</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Father/Spouse/Guardian Name</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Dev Mehta</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Marital Status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Married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Educational Qualification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Graduate with sector training</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Profession/Occupation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Transport and logistics service</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Contact Number</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Email</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sample@finxora.com</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Aadhaar No.</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0000 0000 0000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Business description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Transport and logistics service serving institutional and retail customers in Indore and neighbouring districts of Madhya Pradesh. Operations combine documented customer orders, supplier evaluation, quality checks and regular collection follow-up. Management reviews stock, receivables and cash flow monthly to maintain service standards and timely debt repayment.</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Incorporation / establishment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01-Apr-2020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Bank and branch</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 Indore Main Branch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Proposed facilities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Cash credit Rs. 11.2 lakh and term loan Rs. 70 lakh</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Ownership / management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Aarav Mehta, Proprietor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Market and operations</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Diversified local customers; documented orders; monthly stock and debtor review.</w:t>
            </w:r>
          </w:p>
        </w:tc>
      </w:tr>
    </w:tbl>
    <w:p>
      <w:pPr>
        <w:spacing w:after="150"/>
      </w:pPr>
    </w:p>
    <w:p>
      <w:pPr>
        <w:pStyle w:val="sectionHeading"/>
        <w:spacing w:after="150" w:before="150"/>
        <w:jc w:val="left"/>
      </w:pPr>
      <w:r>
        <w:t xml:space="preserve">II. Project &amp; Financial Overview</w:t>
      </w:r>
    </w:p>
    <w:tbl>
      <w:tblPr>
        <w:tblW w:type="pct" w:w="9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Report Period</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2024 - 2028</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Currency</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Amount In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Actual</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Total Project Cost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1,91,20,000.00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Bank - Term Loan 1 (Current Project)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55,00,000.00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Interest Rate (%) - Term Loan 1 (Current Project)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9.5%</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Term Loan Installment (monthly) - Term Loan 1 (Current Project)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1,15,510.24</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Repayment Frequency - Term Loan 1 (Current Project)</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Monthly</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(CC/OD) Bank</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XYZ Bank Ltd.</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Working Capital Loan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11,20,000.00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WC Loan Interest Rate (%)</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10%</w:t>
            </w:r>
          </w:p>
        </w:tc>
      </w:tr>
      <w:tr>
        <w:trPr>
          <w:trHeight w:val="431" w:hRule="atLeast"/>
        </w:trPr>
        <w:tc>
          <w:tcPr>
            <w:tcW w:type="pct" w:w="40%"/>
            <w:tcBorders>
              <w:top w:val="single" w:color="BFBFBF" w:sz="1"/>
              <w:left w:val="single" w:color="BFBFBF" w:sz="1"/>
              <w:bottom w:val="single" w:color="BFBFBF" w:sz="1"/>
              <w:right w:val="single" w:color="BFBFBF" w:sz="1"/>
            </w:tcBorders>
            <w:vAlign w:val="center"/>
          </w:tcPr>
          <w:p>
            <w:pPr>
              <w:pStyle w:val="Default"/>
              <w:spacing w:before="60" w:after="60"/>
            </w:pPr>
            <w:r>
              <w:rPr>
                <w:b/>
                <w:bCs/>
              </w:rPr>
              <w:t xml:space="preserve">Own Contribution</w:t>
            </w:r>
          </w:p>
        </w:tc>
        <w:tc>
          <w:tcPr>
            <w:tcW w:type="pct" w:w="60%"/>
            <w:tcBorders>
              <w:top w:val="single" w:color="BFBFBF" w:sz="1"/>
              <w:left w:val="single" w:color="BFBFBF" w:sz="1"/>
              <w:bottom w:val="single" w:color="BFBFBF" w:sz="1"/>
              <w:right w:val="single" w:color="BFBFBF" w:sz="1"/>
            </w:tcBorders>
            <w:vAlign w:val="center"/>
          </w:tcPr>
          <w:p>
            <w:pPr>
              <w:pStyle w:val="Default"/>
              <w:spacing w:before="60" w:after="60"/>
            </w:pPr>
            <w:r>
              <w:t xml:space="preserve">INR 1,10,00,000.00</w:t>
            </w:r>
          </w:p>
        </w:tc>
      </w:tr>
    </w:tbl>
    <w:p>
      <w:pPr>
        <w:spacing w:after="200"/>
      </w:pPr>
    </w:p>
    <w:p>
      <w:r>
        <w:br w:type="page"/>
      </w:r>
    </w:p>
    <w:p>
      <w:pPr>
        <w:pStyle w:val="sectionHeading"/>
        <w:spacing w:after="200" w:before="400"/>
        <w:jc w:val="center"/>
      </w:pPr>
      <w:r>
        <w:t xml:space="preserve">Introduction</w:t>
      </w:r>
    </w:p>
    <w:p>
      <w:pPr>
        <w:pStyle w:val="Default"/>
        <w:spacing w:after="120"/>
        <w:jc w:val="both"/>
      </w:pPr>
      <w:r>
        <w:t xml:space="preserve">FINXORA LOGISTICS operates a transport and logistics service business in Indore, Madhya Pradesh. The proposal covers renewal of cash credit and continued servicing of asset finance, supported by the historical, provisional and projected periods identified in the schedules. The business provides local and regional goods transport, scheduled distribution runs and loading coordination. Customers are billed by trip, route or monthly service arrangement, with fuel escalation provisions proposed for longer contracts. The business combines owned delivery vehicles with approved subcontract transporters, allowing seasonal demand to be met without assuming a permanently larger fleet.</w:t>
      </w:r>
    </w:p>
    <w:p>
      <w:pPr>
        <w:pStyle w:val="Default"/>
        <w:spacing w:after="120"/>
        <w:jc w:val="both"/>
      </w:pPr>
      <w:r>
        <w:t xml:space="preserve">Local distributors increasingly need reliable scheduled delivery rather than occasional vehicle hire. A compact operating radius can improve fleet utilisation and reduce empty return kilometres. Management will expand through additional contracted routes only when their contribution covers fuel, subcontract costs, maintenance and the associated financing obligations.</w:t>
      </w:r>
    </w:p>
    <w:p>
      <w:pPr>
        <w:pStyle w:val="Default"/>
        <w:spacing w:after="120"/>
        <w:jc w:val="both"/>
      </w:pPr>
      <w:r>
        <w:t xml:space="preserve">The funding schedule provides a total outlay of Rs. 191.20 lakh, promoter contribution of Rs. 110.00 lakh, term finance of Rs. 70.00 lakh and cash credit of Rs. 11.20 lakh. The term facility is modelled at 9.5% over five years; working-capital interest is modelled at 10%. Security documentation and final repayment terms remain subject to the bank's appraisal and sanction. For the first reporting year, FY 2024-25, the computed schedules show sales of Rs. 280.00 lakh and net profit of Rs. 40.92 lakh. The first-year current ratio is 1.70 times and the arithmetic average of the annual DSCR values in the repayment schedule is 4.38 times. Final-year sales are Rs. 380.94 lakh with net profit of Rs. 71.77 lakh; these highlights reproduce the report's calculations rather than a separate earnings estimate.</w:t>
      </w:r>
    </w:p>
    <w:p>
      <w:pPr>
        <w:spacing w:after="200"/>
      </w:pPr>
    </w:p>
    <w:p>
      <w:pPr>
        <w:pStyle w:val="sectionHeading"/>
        <w:spacing w:after="200" w:before="400"/>
        <w:jc w:val="center"/>
      </w:pPr>
      <w:r>
        <w:t xml:space="preserve">Management and Expertise</w:t>
      </w:r>
    </w:p>
    <w:p>
      <w:pPr>
        <w:pStyle w:val="Default"/>
        <w:spacing w:after="120"/>
        <w:jc w:val="both"/>
      </w:pPr>
      <w:r>
        <w:t xml:space="preserve">Aarav Mehta has eleven years of experience in local transport coordination, fleet scheduling and industrial dispatch support. The proprietor manages customer contracts and supervises a dispatch coordinator responsible for route allocation. An accounts officer tracks vehicle-wise contribution, fuel spending and invoice collections to distinguish profitable routes from underpriced assignments.</w:t>
      </w:r>
    </w:p>
    <w:p>
      <w:pPr>
        <w:pStyle w:val="Default"/>
        <w:spacing w:after="120"/>
        <w:jc w:val="both"/>
      </w:pPr>
      <w:r>
        <w:t xml:space="preserve">The staffing plan covers eight drivers and handling employees, four dispatch and route-support staff and three office employees. Driver training emphasises road safety, load limits and delivery documentation. The asset financing comprises a Rs. 55 lakh premises-equipment loan and a separate Rs. 15 lakh vehicle loan, both of which must be considered when reviewing repayment capacity. Responsibilities should be supported by written authority limits for purchases, customer credit and payments. Bank reconciliations and statutory compliance are to be reviewed monthly, and changes in key personnel should be accompanied by a documented handover.</w:t>
      </w:r>
    </w:p>
    <w:p>
      <w:pPr>
        <w:pStyle w:val="Default"/>
        <w:spacing w:after="120"/>
        <w:jc w:val="both"/>
      </w:pPr>
      <w:r>
        <w:t xml:space="preserve">Vehicle checks cover tyres, brakes, lights and statutory documents before dispatch. Delivery performance is measured through on-time completion, damaged consignments and customer complaints. Proof-of-delivery records are reconciled to invoices, and subcontractors are selected on service reliability, documentation and insurance rather than price alone. The reporting plan calls for consistent accounting policies, periodic physical verification and management review of exceptions. Forecast growth is an operating target and should be measured against demonstrated execution rather than treated as an assured result.</w:t>
      </w:r>
    </w:p>
    <w:p>
      <w:pPr>
        <w:spacing w:after="200"/>
      </w:pPr>
    </w:p>
    <w:p>
      <w:pPr>
        <w:pStyle w:val="sectionHeading"/>
        <w:spacing w:after="200" w:before="400"/>
        <w:jc w:val="center"/>
      </w:pPr>
      <w:r>
        <w:t xml:space="preserve">Operational Plan</w:t>
      </w:r>
    </w:p>
    <w:p>
      <w:pPr>
        <w:pStyle w:val="Default"/>
        <w:spacing w:after="120"/>
        <w:jc w:val="both"/>
      </w:pPr>
      <w:r>
        <w:t xml:space="preserve">The dispatch base at Plot 12, Industrial Area, Indore includes parking, a small handling area and fleet-control facilities. Four delivery vehicles form the planned owned fleet, with subcontract capacity used for overflow loads. Daily route sheets record kilometres, fuel, delivery completion and breakdown time; vehicle availability is reviewed before new service commitments are accepted.</w:t>
      </w:r>
    </w:p>
    <w:p>
      <w:pPr>
        <w:pStyle w:val="Default"/>
        <w:spacing w:after="120"/>
        <w:jc w:val="both"/>
      </w:pPr>
      <w:r>
        <w:t xml:space="preserve">The staffing plan covers eight drivers and handling employees, four dispatch and route-support staff and three office employees. Driver training emphasises road safety, load limits and delivery documentation. The asset financing comprises a Rs. 55 lakh premises-equipment loan and a separate Rs. 15 lakh vehicle loan, both of which must be considered when reviewing repayment capacity.</w:t>
      </w:r>
    </w:p>
    <w:p>
      <w:pPr>
        <w:pStyle w:val="Default"/>
        <w:spacing w:after="120"/>
        <w:jc w:val="both"/>
      </w:pPr>
      <w:r>
        <w:t xml:space="preserve">The business provides local and regional goods transport, scheduled distribution runs and loading coordination. Customers are billed by trip, route or monthly service arrangement, with fuel escalation provisions proposed for longer contracts. The business combines owned delivery vehicles with approved subcontract transporters, allowing seasonal demand to be met without assuming a permanently larger fleet.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Market Analysis and Opportunity</w:t>
      </w:r>
    </w:p>
    <w:p>
      <w:pPr>
        <w:pStyle w:val="Default"/>
        <w:spacing w:after="120"/>
        <w:jc w:val="both"/>
      </w:pPr>
      <w:r>
        <w:t xml:space="preserve">Customers include industrial suppliers, FMCG distributors and retailers requiring deliveries within Indore and neighbouring districts. The market plan favours repeat commercial routes with predictable loading and return schedules. Signed proof of delivery supports invoicing, and agreed dispute-resolution timelines prevent delivery documentation issues from becoming persistent overdue receivables.</w:t>
      </w:r>
    </w:p>
    <w:p>
      <w:pPr>
        <w:pStyle w:val="Default"/>
        <w:spacing w:after="120"/>
        <w:jc w:val="both"/>
      </w:pPr>
      <w:r>
        <w:t xml:space="preserve">Local distributors increasingly need reliable scheduled delivery rather than occasional vehicle hire. A compact operating radius can improve fleet utilisation and reduce empty return kilometres. Management will expand through additional contracted routes only when their contribution covers fuel, subcontract costs, maintenance and the associated financing obligations.</w:t>
      </w:r>
    </w:p>
    <w:p>
      <w:pPr>
        <w:pStyle w:val="Default"/>
        <w:spacing w:after="120"/>
        <w:jc w:val="both"/>
      </w:pPr>
      <w:r>
        <w:t xml:space="preserve">The forecast assumes disciplined expansion of existing product and service lines, supported by the annual growth and collection assumptions in the schedules. Local competition, customer bargaining power and input-cost changes require regular review of quotations. Before expanding into another territory or customer group, management should compare incremental gross contribution with delivery, staffing and credit costs and retain only business that supports the repayment plan.</w:t>
      </w:r>
    </w:p>
    <w:p>
      <w:pPr>
        <w:spacing w:after="200"/>
      </w:pPr>
    </w:p>
    <w:p>
      <w:pPr>
        <w:pStyle w:val="sectionHeading"/>
        <w:spacing w:after="200" w:before="400"/>
        <w:jc w:val="center"/>
      </w:pPr>
      <w:r>
        <w:t xml:space="preserve">Quality Assurance and Control</w:t>
      </w:r>
    </w:p>
    <w:p>
      <w:pPr>
        <w:pStyle w:val="Default"/>
        <w:spacing w:after="120"/>
        <w:jc w:val="both"/>
      </w:pPr>
      <w:r>
        <w:t xml:space="preserve">Vehicle checks cover tyres, brakes, lights and statutory documents before dispatch. Delivery performance is measured through on-time completion, damaged consignments and customer complaints. Proof-of-delivery records are reconciled to invoices, and subcontractors are selected on service reliability, documentation and insurance rather than price alone.</w:t>
      </w:r>
    </w:p>
    <w:p>
      <w:pPr>
        <w:pStyle w:val="Default"/>
        <w:spacing w:after="120"/>
        <w:jc w:val="both"/>
      </w:pPr>
      <w:r>
        <w:t xml:space="preserve">The dispatch base at Plot 12, Industrial Area, Indore includes parking, a small handling area and fleet-control facilities. Four delivery vehicles form the planned owned fleet, with subcontract capacity used for overflow loads. Daily route sheets record kilometres, fuel, delivery completion and breakdown time; vehicle availability is reviewed before new service commitments are accepted. Operating records should link purchases or inputs to completed output and customer billing, allowing exceptions to be traced promptly. Responsibility for acceptance checks, stock custody and payment approval should be separated wherever staffing permits.</w:t>
      </w:r>
    </w:p>
    <w:p>
      <w:pPr>
        <w:pStyle w:val="Default"/>
        <w:spacing w:after="120"/>
        <w:jc w:val="both"/>
      </w:pPr>
      <w:r>
        <w:t xml:space="preserve">Management should retain supplier documents, maintenance records, customer complaints and corrective-action logs. Quality controls are intended to prevent avoidable returns and interruption as well as meet customer specifications. Periodic review of losses, rework and complaints should feed into costing and training; certifications or approvals should be claimed only after the applicable requirements have been met.</w:t>
      </w:r>
    </w:p>
    <w:p>
      <w:pPr>
        <w:spacing w:after="200"/>
      </w:pPr>
    </w:p>
    <w:p>
      <w:pPr>
        <w:pStyle w:val="sectionHeading"/>
        <w:spacing w:after="200" w:before="400"/>
        <w:jc w:val="center"/>
      </w:pPr>
      <w:r>
        <w:t xml:space="preserve">Risk Assessment and Mitigation</w:t>
      </w:r>
    </w:p>
    <w:p>
      <w:pPr>
        <w:pStyle w:val="Default"/>
        <w:spacing w:after="120"/>
        <w:jc w:val="both"/>
      </w:pPr>
      <w:r>
        <w:t xml:space="preserve">Fuel-price increases, vehicle downtime and delayed customer payment are the main constraints. Route-level costing, periodic tariff review and backup transport arrangements limit their effect. Preventive maintenance and insurance reduce interruption exposure; customer credit limits and timely proof-of-delivery submission support collections and the working-capital cycle.</w:t>
      </w:r>
    </w:p>
    <w:p>
      <w:pPr>
        <w:pStyle w:val="Default"/>
        <w:spacing w:after="120"/>
        <w:jc w:val="both"/>
      </w:pPr>
      <w:r>
        <w:t xml:space="preserve">Local distributors increasingly need reliable scheduled delivery rather than occasional vehicle hire. A compact operating radius can improve fleet utilisation and reduce empty return kilometres. Management will expand through additional contracted routes only when their contribution covers fuel, subcontract costs, maintenance and the associated financing obligations. These strengths are balanced by the need to manage utilisation, cost discipline and collection performance. The projection should be stress-tested for lower sales, higher input prices and a longer collection cycle, with repayment reviewed against the resulting cash accruals rather than solely against the base-case margin.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Insurance, supplier continuity arrangements and timely statutory renewals should be reviewed annually. The bank should receive prompt explanations for material deviations from the sanctioned operating assumptions.</w:t>
      </w:r>
    </w:p>
    <w:p>
      <w:pPr>
        <w:spacing w:after="200"/>
      </w:pPr>
    </w:p>
    <w:p>
      <w:pPr>
        <w:pStyle w:val="sectionHeading"/>
        <w:spacing w:after="200" w:before="400"/>
        <w:jc w:val="center"/>
      </w:pPr>
      <w:r>
        <w:t xml:space="preserve">Financial Analysis</w:t>
      </w:r>
    </w:p>
    <w:p>
      <w:pPr>
        <w:pStyle w:val="Default"/>
        <w:spacing w:after="120"/>
        <w:jc w:val="both"/>
      </w:pPr>
      <w:r>
        <w:t xml:space="preserve">For the first reporting year, FY 2024-25, the computed schedules show sales of Rs. 280.00 lakh and net profit of Rs. 40.92 lakh. The first-year current ratio is 1.70 times and the arithmetic average of the annual DSCR values in the repayment schedule is 4.38 times. Final-year sales are Rs. 380.94 lakh with net profit of Rs. 71.77 lakh; these highlights reproduce the report's calculations rather than a separate earnings estimate.</w:t>
      </w:r>
    </w:p>
    <w:p>
      <w:pPr>
        <w:pStyle w:val="Default"/>
        <w:spacing w:after="120"/>
        <w:jc w:val="both"/>
      </w:pPr>
      <w:r>
        <w:t xml:space="preserve">The funding schedule provides a total outlay of Rs. 191.20 lakh, promoter contribution of Rs. 110.00 lakh, term finance of Rs. 70.00 lakh and cash credit of Rs. 11.20 lakh. The term facility is modelled at 9.5% over five years; working-capital interest is modelled at 10%. Security documentation and final repayment terms remain subject to the bank's appraisal and sanction.</w:t>
      </w:r>
    </w:p>
    <w:p>
      <w:pPr>
        <w:pStyle w:val="Default"/>
        <w:spacing w:after="120"/>
        <w:jc w:val="both"/>
      </w:pPr>
      <w:r>
        <w:t xml:space="preserve">Repayment capacity is assessed from operating cash accruals after the scheduled interest charge and with principal obligations considered in the debt-service schedule. Accounting profit alone does not establish available bank cash: inventory growth, receivable delays and capital expenditure can absorb accruals. Management should maintain a rolling cash forecast and reserve funds for instalments before discretionary expenditure or distributions. Monthly management review should compare orders, realised prices, direct costs and collections with the financial schedules. Stock and debtor statements must reconcile with the books before submission to the bank. Any adverse movement in margin or overdue accounts should lead to a revised cash-flow forecast and corrective action before additional credit commitments are accepted.</w:t>
      </w:r>
    </w:p>
    <w:p>
      <w:pPr>
        <w:spacing w:after="200"/>
      </w:pPr>
    </w:p>
    <w:p>
      <w:pPr>
        <w:pStyle w:val="sectionHeading"/>
        <w:spacing w:after="200" w:before="400"/>
        <w:jc w:val="center"/>
      </w:pPr>
      <w:r>
        <w:t xml:space="preserve">Conclusion and Recommendations</w:t>
      </w:r>
    </w:p>
    <w:p>
      <w:pPr>
        <w:pStyle w:val="Default"/>
        <w:spacing w:after="120"/>
        <w:jc w:val="both"/>
      </w:pPr>
      <w:r>
        <w:t xml:space="preserve">FINXORA LOGISTICS's proposal connects transport and logistics service activity with an identified operating plan, a defined promoter contribution and scheduled bank finance. Local distributors increasingly need reliable scheduled delivery rather than occasional vehicle hire. A compact operating radius can improve fleet utilisation and reduce empty return kilometres. Management will expand through additional contracted routes only when their contribution covers fuel, subcontract costs, maintenance and the associated financing obligations. The computed liquidity and debt-service indicators support consideration of the proposal under the stated assumptions; they should be read with the detailed operating, balance-sheet and repayment schedules.</w:t>
      </w:r>
    </w:p>
    <w:p>
      <w:pPr>
        <w:pStyle w:val="Default"/>
        <w:spacing w:after="120"/>
        <w:jc w:val="both"/>
      </w:pPr>
      <w:r>
        <w:t xml:space="preserve">Fuel-price increases, vehicle downtime and delayed customer payment are the main constraints. Route-level costing, periodic tariff review and backup transport arrangements limit their effect. Preventive maintenance and insurance reduce interruption exposure; customer credit limits and timely proof-of-delivery submission support collections and the working-capital cycle. Prior to sanction or renewal, the bank should examine promoter contribution, premises arrangements, equipment quotations, customer demand, statutory permissions and the proposed security. Disbursement should follow documented end use and completion of the agreed conditions.</w:t>
      </w:r>
    </w:p>
    <w:p>
      <w:pPr>
        <w:pStyle w:val="Default"/>
        <w:spacing w:after="120"/>
        <w:jc w:val="both"/>
      </w:pPr>
      <w:r>
        <w:t xml:space="preserve">Management should provide periodic stock, debtor and operating statements and discuss material deviations with the lender. Expansion should remain within demonstrated operational capacity and available working capital. This assessment is conditional on execution of the operating plan and timely collections; it does not constitute a guarantee of sanction, future profit or uninterrupted debt service.</w:t>
      </w:r>
    </w:p>
    <w:p>
      <w:pPr>
        <w:pStyle w:val="Default"/>
        <w:spacing w:after="120"/>
        <w:jc w:val="both"/>
      </w:pPr>
      <w:r>
        <w:t xml:space="preserve">This is a sample report prepared with Finxora; the business and its figures are illustrative.</w:t>
      </w:r>
    </w:p>
    <w:p>
      <w:pPr>
        <w:spacing w:after="200"/>
      </w:pPr>
    </w:p>
    <w:p>
      <w:r>
        <w:br w:type="page"/>
      </w:r>
    </w:p>
    <w:p>
      <w:pPr>
        <w:pStyle w:val="sectionHeading"/>
        <w:spacing w:after="200"/>
        <w:jc w:val="center"/>
      </w:pPr>
      <w:r>
        <w:t xml:space="preserve">Operating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Gross 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Transport and logistics service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Export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Add other revenue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Total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2,80,00,000.00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3,02,40,000.00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3,26,59,200.00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3,52,71,936.00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 Less excise duty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Deduct other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 Net Sales (item 1 - item 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2,80,00,000.00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3,02,40,000.00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3,26,59,200.00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3,52,71,936.00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 age rise (+) or fall (-) in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5. Cost of Sales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 Raw Material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95,73,698.63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97,25,895.89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1,05,03,967.56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1,13,44,284.97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1,22,51,827.76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Consumables and outsourced service costs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95,73,698.63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97,25,895.89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1,05,03,967.56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1,13,44,284.97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1,22,51,827.76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(ii) Other Consumables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(iii) 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(iv) Power and Fuel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9,79,776.00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10,58,158.08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11,42,810.73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Technical and field staff costs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54,43,200.00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58,78,656.00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63,48,948.48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68,56,864.36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direct service costs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6,53,184.00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7,05,438.72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7,61,873.82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(vii)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(viii) Sub Total (i to vii)</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1,81,73,698.63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1,85,44,095.89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1,96,23,433.56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2,08,45,372.76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2,22,13,320.79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(ix) Add: Opening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 Deduct: Closing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(xi) Cost of Production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1,81,73,698.63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1,85,44,095.89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1,96,23,433.56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2,08,45,372.76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2,22,13,320.79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(xii) Add : Opening Stock of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(xiii) Deduct: Closing stocks of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(Total Cost of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1,75,60,000.00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1,84,95,000.00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1,95,70,410.00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2,07,88,107.31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2,21,51,474.11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6. Selling, general and administrative exp.</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Salaries &amp; Wages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12,70,080.00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13,71,686.40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14,81,421.31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15,99,935.02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4,70,400.00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5,08,032.00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5,48,674.56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5,92,568.52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6,39,974.01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Advertising &amp; Marketing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4,23,360.00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4,57,228.80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4,93,807.10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5,33,311.67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Freight &amp; Transportation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4,23,360.00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4,57,228.80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4,93,807.10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5,33,311.67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Electricity &amp; Utilities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3,13,600.00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3,38,688.00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3,65,783.04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3,95,045.68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4,26,649.34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Travel &amp; Conveyance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2,35,200.00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2,54,016.00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2,74,337.28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2,96,284.26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3,19,987.00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Repairs &amp; Maintenance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2,35,200.00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2,54,016.00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2,74,337.28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2,96,284.26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3,19,987.00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Insurance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1,56,800.00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1,69,344.00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1,82,891.52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1,97,522.84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2,13,324.67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Professional &amp; Legal Fees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1,56,800.00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1,69,344.00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1,82,891.52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1,97,522.84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2,13,324.67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Communication (Phone, Internet)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1,27,008.00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1,37,168.64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1,48,142.13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1,59,993.50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Office Supplies &amp; Stationery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1,17,600.00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1,27,008.00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1,37,168.64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1,48,142.13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1,59,993.50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Charges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84,672.00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91,445.76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98,761.42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1,06,662.33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Selling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78,400.00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84,672.00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91,445.76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98,761.42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1,06,662.33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Selling, general and administrative exp.</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42,33,600.00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45,72,288.00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49,38,071.01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53,33,116.71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7. Sub Total (5+6)(Total Cost of Sales)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2,14,80,000.00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2,27,28,600.00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2,41,42,698.00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2,57,26,178.32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2,74,84,590.82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Operating Profit before Interest (3-7)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75,11,400.00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85,16,502.00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95,45,757.68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1,06,09,100.06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Interest on 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TL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6,15,855.17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5,01,889.05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3,76,612.07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2,38,901.65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87,523.81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10. Operating profit after interest (8-9)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59,04,144.83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70,09,510.95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80,27,889.93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91,94,856.03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1,04,09,576.25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11. (i) Add other non-operating income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 Sub Total (Income)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(ii) Deduct other non-operation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II - Sub Total (expenses)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III - Net of other non-operation income/exp. (I - II)</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12. Profit before tax [10+11(iii)]</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59,04,144.83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70,09,510.95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80,27,889.93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91,94,856.03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1,04,09,576.25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 Provision for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18,11,802.51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19,25,184.16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22,74,691.82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26,75,194.59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32,32,635.96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Deferred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14. Net Profit/loss (12-13)</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40,92,342.32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50,84,326.79</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57,53,198.11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65,19,661.44</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 (a) Equity dividend paid -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16. Retained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17. Retained Profit/Net Profit (% Age)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NP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14.62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16.81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17.62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18.48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18.84</w:t>
            </w:r>
          </w:p>
        </w:tc>
      </w:tr>
    </w:tbl>
    <w:p>
      <w:pPr>
        <w:spacing w:after="400"/>
      </w:pPr>
    </w:p>
    <w:p>
      <w:r>
        <w:br w:type="page"/>
      </w:r>
    </w:p>
    <w:p>
      <w:pPr>
        <w:pStyle w:val="sectionHeading"/>
        <w:spacing w:after="200"/>
        <w:jc w:val="center"/>
      </w:pPr>
      <w:r>
        <w:t xml:space="preserve">Balance Sheet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Borrowing from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From Applicant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From Other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(of which OCC discount)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 Total(a)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11,20,000.00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11,20,000.00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11,20,000.00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 Short Term Borrowings From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 Sundry Creditor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Advance payments from customers/deposits from dealers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Provision for taxation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18,11,802.51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19,25,184.16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22,74,691.82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26,75,194.58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32,32,635.96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Dividend payable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Other statutory liabilities (plus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 Deposits/repayments of term loans (plus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12,62,267.30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13,87,544.28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15,25,254.70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9. Other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 Total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36,87,768.44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39,75,522.96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45,15,764.60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51,24,910.65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40,67,566.17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10. 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36,87,768.44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39,75,522.96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56,35,764.60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62,44,910.65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51,87,566.17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TERM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11.Debentures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12.Preference shares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13.Term loans(excl. old installments payable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45,89,431.52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32,01,887.24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14.Deferred Payment Credits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15.Long Term Advances (repayable after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16.Other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17. TOTAL TERM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45,89,431.52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32,01,887.24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16,76,632.54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18. TOTAL OUTSIDE LIABILITIES (10+17)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82,77,199.96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71,77,410.20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73,12,397.14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62,44,910.65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51,87,566.17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NET WORTH</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1,44,78,490.98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1,88,00,168.75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2,36,90,387.14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2,92,32,099.34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21.Share application money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22.Other reserves (subsidy)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24.Surplus or deficit in Profit and loss A/c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25.Drawings (Withdrawal)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6,13,851.35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7,62,649.02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8,62,979.72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9,77,949.21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10,76,541.04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26. NET WORTH</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1,44,78,490.97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1,88,00,168.75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2,36,90,387.14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2,92,32,099.37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3,53,32,498.59</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27. TOTAL LIABILITIES [18+26]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2,27,55,690.93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2,59,77,578.95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3,10,02,784.28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3,54,77,010.02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4,05,20,064.76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28.Cash and bank balances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25,86,799.32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64,19,049.46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1,14,70,980.63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1,58,86,321.10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2,05,83,856.10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29. Investments (other than long term Investments)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Government and other Trustee Securities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(ii)Fixed deposits with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30.(i) Receivables (Debtors &lt; 6 months) other than deferred and exports(including bills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33,13,972.60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35,79,090.41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38,65,417.64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41,74,651.06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(ii)Export receivables((including bills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 Instalments of deferred receivables(due within one year)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32. Inventory</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(i) Raw Materials( including stores and other items used in the process of manufacture)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(iv) Other Consumables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(v) Direct Expenses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Inventory</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6,13,698.63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6,62,794.52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7,15,818.08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7,73,083.53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33.Advances to suppliers of raw material, stores and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34.Advance payment of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35. Other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Excise deposits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Int. receivable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Misc.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Other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36. TOTAL CURRENT ASSETS [total of 28 to 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62,68,991.10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1,03,95,816.58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1,57,65,889.12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2,05,24,822.27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2,55,93,437.37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FIXED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37.Gross Block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38.Depreciation to date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39. NET BLOCK (37-38)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1,58,40,000.00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1,39,77,000.00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1,23,69,150.00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1,09,80,607.49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97,80,663.37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OTHER NON-CURRENT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40. Investments/book debts/advances/deposits which are not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Investments made in subsidiary companies/affiliates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Advances to suppliers of capital goods and contractors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Deferred receivables (incl.inst due beyond one yr)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Debtors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Security Deposit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Sub-Total Investments etc.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41.Non-consumable stores and spares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6,46,699.83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16,04,762.37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28,67,745.16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39,71,580.27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51,45,964.03</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43. TOTAL OTHER NON-CURRENT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6,46,699.83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16,04,762.37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28,67,745.16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39,71,580.27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51,45,964.03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 Intangible assets(patents, goodwill, prelim. expenses, bad/doubtful exp.not provided for, etc.)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45. TOTAL ASSETS [36+39+43+44]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2,27,55,690.93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2,59,77,578.95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3,10,02,784.28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3,54,77,010.03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4,05,20,064.77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46. TANGIBLE NET WORTH [26-44]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1,44,78,490.97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1,88,00,168.75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2,36,90,387.14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2,92,32,099.37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3,53,32,498.59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47. NET WORKING CAPITAL [(17+26)-(39+43+44)]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1,01,30,124.52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1,42,79,911.61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2,04,05,871.19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48. Current Ratio [36/10]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4.93</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49. Total Outside Liabilities/Tangible Net Worth [18/46]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0.57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0.38</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0.21</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0.15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50. Total Term Liabilities/Tangible Net Worth [17/46]</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0.32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0.17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0.07</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Difference [27-45]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bl>
    <w:p>
      <w:pPr>
        <w:spacing w:after="400"/>
      </w:pPr>
    </w:p>
    <w:p>
      <w:r>
        <w:br w:type="page"/>
      </w:r>
    </w:p>
    <w:p>
      <w:pPr>
        <w:pStyle w:val="sectionHeading"/>
        <w:spacing w:after="200"/>
        <w:jc w:val="center"/>
      </w:pPr>
      <w:r>
        <w:t xml:space="preserve">Depreciation Chart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
        <w:gridCol w:w="12"/>
        <w:gridCol w:w="10"/>
        <w:gridCol w:w="10"/>
        <w:gridCol w:w="10"/>
        <w:gridCol w:w="10"/>
        <w:gridCol w:w="13"/>
      </w:tblGrid>
      <w:tr>
        <w:trPr>
          <w:tblHeader/>
          <w:trHeight w:val="400" w:hRule="atLeast"/>
        </w:trPr>
        <w:tc>
          <w:tcPr>
            <w:tcW w:type="pct" w:w="3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Rate</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3%"/>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Land</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Building</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36,45,000.00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32,80,500.00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29,52,450.00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26,57,205.00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Furniture &amp; Fixtures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7,29,000.00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6,56,100.00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5,90,490.00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5,31,441.00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Plant &amp; Machinery</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15%</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68,85,000.00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58,52,250.00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49,74,412.50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42,28,250.63</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68,85,000.00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58,52,250.00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49,74,412.50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42,28,250.63</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12,15,000.00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10,32,750.00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8,77,837.50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7,46,161.88</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6,34,237.59</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68,85,000.00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58,52,250.00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49,74,412.50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42,28,250.63</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35,94,013.04</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Vehicles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t xml:space="preserve">15%</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19,50,750.00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16,58,137.50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14,09,416.88</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(&gt;=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During the Year (&lt; 180 days)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19,50,750.00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16,58,137.50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14,09,416.88</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3,44,250.00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2,92,612.50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2,48,720.63</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2,11,412.53</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22,95,000.00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19,50,750.00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16,58,137.50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14,09,416.88</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11,98,004.35</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Opening</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1,09,80,607.51</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During the Year</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Gross Block</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1,09,80,607.51</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less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Adjust (Dep) (Add/Less)</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3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written down value</w:t>
            </w:r>
          </w:p>
        </w:tc>
        <w:tc>
          <w:tcPr>
            <w:tcW w:type="pct" w:w="12%"/>
            <w:tcBorders>
              <w:top w:val="single" w:color="000000" w:sz="1"/>
              <w:left w:val="single" w:color="000000" w:sz="1"/>
              <w:bottom w:val="single" w:color="000000" w:sz="1"/>
              <w:right w:val="single" w:color="000000" w:sz="1"/>
            </w:tcBorders>
            <w:vAlign w:val="center"/>
          </w:tcPr>
          <w:p>
            <w:pPr>
              <w:pStyle w:val="Default"/>
              <w:jc w:val="center"/>
            </w:pPr>
            <w:r>
              <w:rPr>
                <w:b w:val="false"/>
                <w:bCs w:val="false"/>
                <w:color w:val="000000"/>
              </w:rPr>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1,09,80,607.51</w:t>
            </w:r>
          </w:p>
        </w:tc>
        <w:tc>
          <w:tcPr>
            <w:tcW w:type="pct" w:w="13%"/>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97,80,663.39</w:t>
            </w:r>
          </w:p>
        </w:tc>
      </w:tr>
    </w:tbl>
    <w:p>
      <w:pPr>
        <w:spacing w:after="400"/>
      </w:pPr>
    </w:p>
    <w:p>
      <w:r>
        <w:br w:type="page"/>
      </w:r>
    </w:p>
    <w:p>
      <w:pPr>
        <w:pStyle w:val="sectionHeading"/>
        <w:spacing w:after="200"/>
        <w:jc w:val="center"/>
      </w:pPr>
      <w:r>
        <w:t xml:space="preserve">Comparative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CURRENT ASSETS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Raw Materials( including stores and other used in the process of mfg)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2. Other Consumables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Direct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Imported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Indigenous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4. Stocks-in-process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5. Finished goods: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Receivables other than export and deferred receivables(Including bill purchased and discounted by banks)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33,13,972.60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35,79,090.41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38,65,417.64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41,74,651.06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7. Export receivables(include bill purchased and discount)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Amount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Advances to Supplier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9. Other Current Assets (specify major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Cash and Bank Balance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25,86,799.32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64,19,049.46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1,14,70,980.63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1,58,86,321.10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2,05,83,856.10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Investment except long term</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Installment of Deferred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Advance Payment of Taxes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10. TOTAL CURRENT ASSETS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62,68,991.10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1,03,95,816.58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1,57,65,889.12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2,05,24,822.27</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2,55,93,437.37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CURRENT LIABILITIES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(Other than bank borrowings for 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11. Creditors for purchase of raw materials, stores and consumable spares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12. Advance from Customers/ SD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13. Statutory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18,11,802.51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19,25,184.16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22,74,691.82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26,75,194.58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32,32,635.96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14. Other Current liabilities-specify major items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12,62,267.30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13,87,544.28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15,25,254.70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S.T. borrowings others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Dividend Payable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Installment of TL,DGP and Public Deposits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12,62,267.30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13,87,544.28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15,25,254.70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Other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15. TOTAL CURRENT LIABILITIES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36,87,768.44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39,75,522.96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45,15,764.60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51,24,910.65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40,67,566.17</w:t>
            </w:r>
          </w:p>
        </w:tc>
      </w:tr>
    </w:tbl>
    <w:p>
      <w:pPr>
        <w:spacing w:after="400"/>
      </w:pPr>
    </w:p>
    <w:p>
      <w:r>
        <w:br w:type="page"/>
      </w:r>
    </w:p>
    <w:p>
      <w:pPr>
        <w:pStyle w:val="sectionHeading"/>
        <w:spacing w:after="200"/>
        <w:jc w:val="center"/>
      </w:pPr>
      <w:r>
        <w:t xml:space="preserve">Ratio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GROSS PROFIT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PROFIT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16.81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18.84</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STOCK</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Stock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Debtors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33,13,972.60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35,79,090.41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38,65,417.64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41,74,651.06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Less: Creditors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6,62,794.52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7,15,818.08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7,73,083.53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8,34,930.21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NET PAID STOCK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33,13,972.60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35,79,090.41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38,65,417.64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41,74,651.06</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Margin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33,13,972.60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35,79,090.41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38,65,417.64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41,74,651.06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Bank Loan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Export Debtors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  Margin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DP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33,13,972.60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35,79,090.41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38,65,417.64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41,74,651.06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MPBF</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of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2,27,55,690.93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2,59,77,578.95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3,10,02,784.28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3,54,77,010.02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4,05,20,064.76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Total of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2,27,55,690.93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2,59,77,578.95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3,10,02,784.28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3,54,77,010.03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4,05,20,064.77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Difference in B/S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TOL/TNW</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TTL/TNW</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KEY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Sales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Profit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10.08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Growth in Net Worth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20.87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LIQUIDITY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Quick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4.77</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EFFICIENCY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Stock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91.25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47.38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0.94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Fixed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Current Assets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Working Capital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Capital TurnOver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PROFITABILITY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Manufacturing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Indirect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Finance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0.52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Non Operating Expenses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Ratio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16.81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Return on Capital Employed (%)</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28.26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20.31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SOLVENCY RATIO</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Debt-Equity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14.09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DSCR (Debt Service Coverage Ratio)</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ADDITIONAL INFORMATION</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Tangible Net Worth</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1,44,78,490.97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1,88,00,168.75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2,36,90,387.14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2,92,32,099.37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3,53,32,498.59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Long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45,89,431.52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32,01,887.24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Block of Fixed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1,39,77,000.00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1,23,69,150.00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1,09,80,607.49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97,80,663.37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Non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6,46,699.83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16,04,762.37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28,67,745.16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39,71,580.27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51,45,964.03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1,01,30,124.52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1,42,79,911.61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2,04,05,871.19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Other Income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Total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Cash Accruals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62,52,342.32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69,47,326.79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73,61,048.11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79,08,203.95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83,76,884.41</w:t>
            </w:r>
          </w:p>
        </w:tc>
      </w:tr>
    </w:tbl>
    <w:p>
      <w:pPr>
        <w:spacing w:after="400"/>
      </w:pPr>
    </w:p>
    <w:p>
      <w:r>
        <w:br w:type="page"/>
      </w:r>
    </w:p>
    <w:p>
      <w:pPr>
        <w:pStyle w:val="sectionHeading"/>
        <w:spacing w:after="200"/>
        <w:jc w:val="center"/>
      </w:pPr>
      <w:r>
        <w:t xml:space="preserve">Graphical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
        <w:gridCol w:w="50"/>
      </w:tblGrid>
      <w:tr>
        <w:tc>
          <w:tcPr>
            <w:tcBorders>
              <w:top w:val="none"/>
              <w:left w:val="none"/>
              <w:bottom w:val="none"/>
              <w:right w:val="none"/>
            </w:tcBorders>
          </w:tcPr>
          <w:p>
            <w:pPr>
              <w:pStyle w:val="Default"/>
              <w:spacing w:after="100"/>
              <w:jc w:val="center"/>
            </w:pPr>
            <w:r>
              <w:t xml:space="preserve">Sales And Profitability</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Balance Sheet Strength</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Liquidity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Profitability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Leverage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Working Capital Turnover</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333750" cy="1666875"/>
                          </a:xfrm>
                          <a:prstGeom prst="rect">
                            <a:avLst/>
                          </a:prstGeom>
                        </pic:spPr>
                      </pic:pic>
                    </a:graphicData>
                  </a:graphic>
                </wp:inline>
              </w:drawing>
            </w:r>
          </w:p>
        </w:tc>
      </w:tr>
      <w:tr>
        <w:tc>
          <w:tcPr>
            <w:tcBorders>
              <w:top w:val="none"/>
              <w:left w:val="none"/>
              <w:bottom w:val="none"/>
              <w:right w:val="none"/>
            </w:tcBorders>
          </w:tcPr>
          <w:p>
            <w:pPr>
              <w:pStyle w:val="Default"/>
              <w:spacing w:after="100"/>
              <w:jc w:val="center"/>
            </w:pPr>
            <w:r>
              <w:t xml:space="preserve">Solvency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333750" cy="1666875"/>
                          </a:xfrm>
                          <a:prstGeom prst="rect">
                            <a:avLst/>
                          </a:prstGeom>
                        </pic:spPr>
                      </pic:pic>
                    </a:graphicData>
                  </a:graphic>
                </wp:inline>
              </w:drawing>
            </w:r>
          </w:p>
        </w:tc>
        <w:tc>
          <w:tcPr>
            <w:tcBorders>
              <w:top w:val="none"/>
              <w:left w:val="none"/>
              <w:bottom w:val="none"/>
              <w:right w:val="none"/>
            </w:tcBorders>
          </w:tcPr>
          <w:p>
            <w:pPr>
              <w:pStyle w:val="Default"/>
              <w:spacing w:after="100"/>
              <w:jc w:val="center"/>
            </w:pPr>
            <w:r>
              <w:t xml:space="preserve">Efficiency Ratios</w:t>
            </w:r>
          </w:p>
          <w:p>
            <w:pPr>
              <w:jc w:val="center"/>
            </w:pPr>
            <w:r>
              <w:drawing>
                <wp:inline distT="0" distB="0" distL="0" distR="0">
                  <wp:extent cx="333375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333750" cy="1666875"/>
                          </a:xfrm>
                          <a:prstGeom prst="rect">
                            <a:avLst/>
                          </a:prstGeom>
                        </pic:spPr>
                      </pic:pic>
                    </a:graphicData>
                  </a:graphic>
                </wp:inline>
              </w:drawing>
            </w:r>
          </w:p>
        </w:tc>
      </w:tr>
    </w:tbl>
    <w:p>
      <w:r>
        <w:br w:type="page"/>
      </w:r>
    </w:p>
    <w:p>
      <w:pPr>
        <w:pStyle w:val="sectionHeading"/>
        <w:spacing w:after="200"/>
        <w:jc w:val="center"/>
      </w:pPr>
      <w:r>
        <w:t xml:space="preserve">Turnover Method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Turnover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25.00% of (A)</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75,60,000.00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81,64,800.00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88,17,984.00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95,23,422.72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C. Margin Required at 5.00% of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14,00,000.00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15,12,000.00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16,32,960.00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17,63,596.80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19,04,684.54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Margin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1,01,30,124.52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1,42,79,911.61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2,04,05,871.19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E. (B - 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60,48,000.00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65,31,840.00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70,54,387.20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76,18,738.18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(B -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44,18,777.34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11,39,706.38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-19,65,324.52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-54,61,927.61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-1,08,82,448.47</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G. Permissible Bank Finance under Turnover Method (B - C)</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56,00,000.00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60,48,000.00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65,31,840.00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70,54,387.20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76,18,738.18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H. Proposed / Existing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I. Excess Borrowing over Turnover Method Finance</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0.00</w:t>
            </w:r>
          </w:p>
        </w:tc>
      </w:tr>
    </w:tbl>
    <w:p>
      <w:pPr>
        <w:spacing w:after="400"/>
      </w:pPr>
    </w:p>
    <w:p>
      <w:r>
        <w:br w:type="page"/>
      </w:r>
    </w:p>
    <w:p>
      <w:pPr>
        <w:pStyle w:val="sectionHeading"/>
        <w:spacing w:after="200"/>
        <w:jc w:val="center"/>
      </w:pPr>
      <w:r>
        <w:t xml:space="preserve">MPBF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FIRST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62,68,991.10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1,03,95,816.58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1,57,65,889.12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2,05,24,822.27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2,55,93,437.37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36,87,768.44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39,75,522.96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45,15,764.60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51,24,910.65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40,67,566.17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1,12,50,124.52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1,53,99,911.62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2,15,25,871.20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WCG excluding export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6,45,305.66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16,05,073.41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28,12,531.13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38,49,977.90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53,81,467.80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1,01,30,124.52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1,42,79,911.61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2,04,05,871.19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19,35,916.99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48,15,220.21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84,37,593.39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1,15,49,933.71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1,61,44,403.40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SECOND METHOD OF LENDING</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Total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62,68,991.10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1,03,95,816.58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1,57,65,889.12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2,05,24,822.27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2,55,93,437.37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Other Current Liabilities (Other than Bank Borrowing)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36,87,768.44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39,75,522.96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45,15,764.60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51,24,910.65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40,67,566.17</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Working Capital Gap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1,12,50,124.52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1,53,99,911.62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2,15,25,871.20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Min stipulated Net working capital (25% of Total of Current Assets excluding export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15,67,247.77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25,98,954.15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39,41,472.28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51,31,205.57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63,98,359.34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Actual / Projected Net Working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25,81,222.66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64,20,293.62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1,01,30,124.52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1,42,79,911.61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2,04,05,871.19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 Item 3 minus item 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10,13,974.88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38,21,339.48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73,08,652.24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1,02,68,706.05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1,51,27,511.86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 Item 3 minus item 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8. Maximum Permissible Bank Finance (lower of 6 or 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 Excess Borrowing Representing shortfall in NWC</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bl>
    <w:p>
      <w:pPr>
        <w:spacing w:after="400"/>
      </w:pPr>
    </w:p>
    <w:p>
      <w:r>
        <w:br w:type="page"/>
      </w:r>
    </w:p>
    <w:p>
      <w:pPr>
        <w:pStyle w:val="sectionHeading"/>
        <w:spacing w:after="200"/>
        <w:jc w:val="center"/>
      </w:pPr>
      <w:r>
        <w:t xml:space="preserve">Fund Flow Statement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5"/>
        <w:gridCol w:w="15"/>
        <w:gridCol w:w="15"/>
        <w:gridCol w:w="15"/>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SOURCES</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Net Profit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Depreciation</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Increase in Capital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Increase in term liabilities, including public deposit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Decrease in Other Non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Other (income tax w/o)</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 Share application refund</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(h) 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69,47,326.80</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73,61,048.11</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79,08,203.95</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83,76,884.41</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USE</w:t>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5%"/>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(a) Purchase of Fixed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(b) Net loss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(c) Decrease in capital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(d) Decrease in term liabilities, including public deposits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13,87,544.28</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15,25,254.70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(e) Increase in Other non-current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9,58,062.54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12,62,982.79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11,03,835.11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11,74,383.76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(f) Dividend / Drawings / Withdrawals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7,62,649.02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8,62,979.72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9,77,949.21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10,76,541.04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(g) Others (share application)</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(h) Decrease in general reserve (net Deferred tax)</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(i) 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31,08,255.84</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36,51,217.21</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37,58,416.86</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22,50,924.83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LONG TERM SURPLUS/DEFICIT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38,39,070.96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37,09,830.90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41,49,787.09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61,25,959.58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 Increase / Decrease in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41,26,825.48</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53,70,072.54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47,58,933.15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50,68,615.10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 Increase / Decrease in Current Liabilities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2,87,754.52</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5,40,241.64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6,09,146.05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-10,57,344.48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Increase / Decrease in Working Capital gap</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38,39,070.96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48,29,830.90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41,49,787.10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61,25,959.58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7. Net Surplus / Deficit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 Increase / Decrease in Bank Borrowings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INCREASE / DECREASE IN NET SALES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22,40,000.00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24,19,200.00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26,12,736.00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28,21,754.88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*Break-Up of (4)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 Increase / Decrease in Raw Material</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(ii) Increase / Decrease in Stock in Process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(iii) Increase / Decrease in Finished Goods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49,095.89</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53,023.56</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57,265.45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61,846.68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(iv) Increase / Decrease in receivables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Domestic</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2,45,479.45</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2,65,117.81</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2,86,327.23</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3,09,233.42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Export</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(v) Increase / Decrease in consumables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 Imported</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(b) Indigenous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(vi) Increase / Decrease in Direct Expenses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(vii) Increase / Decrease in other current assets</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38,32,250.14</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50,51,931.17</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44,15,340.47</w:t>
            </w:r>
          </w:p>
        </w:tc>
        <w:tc>
          <w:tcPr>
            <w:tcW w:type="pct" w:w="15%"/>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46,97,535.00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41,26,825.48</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53,70,072.54</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47,58,933.15</w:t>
            </w:r>
          </w:p>
        </w:tc>
        <w:tc>
          <w:tcPr>
            <w:tcW w:type="pct" w:w="15%"/>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50,68,615.10</w:t>
            </w:r>
          </w:p>
        </w:tc>
      </w:tr>
    </w:tbl>
    <w:p>
      <w:pPr>
        <w:spacing w:after="400"/>
      </w:pPr>
    </w:p>
    <w:p>
      <w:r>
        <w:br w:type="page"/>
      </w:r>
    </w:p>
    <w:p>
      <w:pPr>
        <w:pStyle w:val="sectionHeading"/>
        <w:spacing w:after="200"/>
        <w:jc w:val="center"/>
      </w:pPr>
      <w:r>
        <w:t xml:space="preserve">Cash Flow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SOURCES OF FUNDS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 Deferred Tax Provision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3a. Current Tax Provision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18,11,802.51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19,25,184.16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22,74,691.82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26,75,194.59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32,32,635.96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4. Increase in Capital (excl. reserves carry forward)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5. Increase in Other Reserves/Surplus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6. Increase in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58,51,698.82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7. Increase in Bank WC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11,20,000.00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8. Increase in other short term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9. Increase in Creditors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53,023.56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57,265.45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61,846.68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10. Increase in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11. Decrease in Inventory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12. Decrease in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13. Decrease in other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14. Decrease in 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SOURCES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2,55,29,542.28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89,21,606.85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1,08,08,763.49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1,06,40,663.99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1,16,71,367.05</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USES OF FUNDS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 Net Loss (if any)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2. Increase in Inventory</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49,095.89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53,023.56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57,265.45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61,846.68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3. Increase in Receivables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30,68,493.15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2,45,479.45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2,65,117.81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2,86,327.23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3,09,233.42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4. Increase in other 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5. Decrease in Capital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6. Decrease in Other Reserves/Surplus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7. Decrease in Term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12,62,267.30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13,87,544.28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15,25,254.70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8. Decrease in Bank WC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9. Decrease in other short term borrowings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10. Decrease in Creditors (Trade)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11. Decrease in other Current Liabilities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12. Purchase of Fixed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13. Increase in other non-current assets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6,46,699.83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9,58,062.54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12,62,982.79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11,03,835.11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11,74,383.76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14. Drawings / Dividends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6,13,851.35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7,62,649.02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8,62,979.72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9,77,949.21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10,76,541.04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15. Taxes Paid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18,11,802.51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19,25,184.16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22,74,691.83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26,75,194.58</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USES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2,29,42,742.96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50,89,356.71</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57,56,832.32</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62,25,323.53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69,73,832.05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C. NET CASH FLOW (A -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25,86,799.32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38,32,250.14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50,51,931.17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44,15,340.46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46,97,535.00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D. OPENING CASH AND BANK</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25,86,799.32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64,19,049.46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1,14,70,980.63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1,58,86,321.10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E. CLOSING CASH AND BANK (C + 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25,86,799.32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64,19,049.46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1,14,70,980.63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1,58,86,321.09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2,05,83,856.10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F. CASH AS PER BALANCE SHEET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25,86,799.32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64,19,049.46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1,14,70,980.63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1,58,86,321.10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2,05,83,856.10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G. DIFFERENCE (E - F)</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bl>
    <w:p>
      <w:pPr>
        <w:spacing w:after="400"/>
      </w:pPr>
    </w:p>
    <w:p>
      <w:r>
        <w:br w:type="page"/>
      </w:r>
    </w:p>
    <w:p>
      <w:pPr>
        <w:pStyle w:val="sectionHeading"/>
        <w:spacing w:after="200"/>
        <w:jc w:val="center"/>
      </w:pPr>
      <w:r>
        <w:t xml:space="preserve">DSCR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A. CASH ACCRUALS (Source)</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Add: Interest on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6,15,855.17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5,01,889.05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3,76,612.07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2,38,901.65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87,523.81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(A)</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68,68,197.49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74,49,215.84</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77,37,660.18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81,47,105.60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84,64,408.22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B. DEBT OBLIGATIONS (Uses)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Interest on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6,15,855.17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5,01,889.05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3,76,612.07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2,38,901.65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87,523.81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Repayment of Long Term Loans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11,48,301.18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12,62,267.30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13,87,544.28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15,25,254.70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16,76,632.54</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Total (B)</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17,64,156.35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17,64,156.35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17,64,156.35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17,64,156.35</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17,64,156.35</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 (A / B)</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Average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4.38</w:t>
            </w:r>
          </w:p>
        </w:tc>
      </w:tr>
    </w:tbl>
    <w:p>
      <w:pPr>
        <w:spacing w:after="400"/>
      </w:pPr>
    </w:p>
    <w:p>
      <w:r>
        <w:br w:type="page"/>
      </w:r>
    </w:p>
    <w:p>
      <w:pPr>
        <w:pStyle w:val="sectionHeading"/>
        <w:spacing w:after="200"/>
        <w:jc w:val="center"/>
      </w:pPr>
      <w:r>
        <w:t xml:space="preserve">Breakeven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1.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Variable Costs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Raw Materials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95,73,698.63</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97,25,895.89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1,05,03,967.56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1,13,44,284.97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1,22,51,827.76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Other Consumables &amp; Packing</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0.00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(iii) Power and Fuel</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8,40,000.00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9,07,200.00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9,79,776.00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10,58,158.08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11,42,810.73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(iv) Direct Labour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54,43,200.00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58,78,656.00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63,48,948.48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68,56,864.36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(v) Variable Mfg &amp; Selling Expenses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3,80,936.91</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Total Variable Costs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1,57,33,698.63</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1,63,78,695.89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1,76,88,991.56</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1,91,04,110.89</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2,06,32,439.76</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3. Contribution (1 - 2)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1,22,66,301.37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1,38,61,304.11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1,49,70,208.44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1,61,67,825.11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1,74,61,251.12</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 Fixed Costs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 Admin &amp; Fixed Selling Exp</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45,36,000.00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48,98,880.00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52,90,790.37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57,14,053.62</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     (ii) Depreciation</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21,60,000.00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18,63,000.00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16,07,850.00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13,88,542.51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11,99,944.12</w:t>
            </w:r>
          </w:p>
        </w:tc>
      </w:tr>
      <w:tr>
        <w:trPr>
          <w:trHeight w:val="300" w:hRule="atLeast"/>
        </w:trPr>
        <w:tc>
          <w:tcPr>
            <w:tcW w:type="pct" w:w="40%"/>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bCs/>
                <w:color w:val="FFFFFF"/>
              </w:rPr>
              <w:t xml:space="preserve">   Total Fixed Costs</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63,60,000.00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63,99,000.00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65,06,730.00</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66,79,332.88</w:t>
            </w:r>
          </w:p>
        </w:tc>
        <w:tc>
          <w:tcPr>
            <w:tcW w:type="pct" w:w="12%"/>
            <w:tcBorders>
              <w:top w:val="single" w:color="000000" w:sz="1"/>
              <w:left w:val="single" w:color="000000" w:sz="1"/>
              <w:bottom w:val="single" w:color="000000" w:sz="1"/>
              <w:right w:val="single" w:color="000000" w:sz="1"/>
            </w:tcBorders>
            <w:shd w:fill="677b98" w:color="677b98" w:val="solid"/>
            <w:vAlign w:val="center"/>
          </w:tcPr>
          <w:p>
            <w:pPr>
              <w:pStyle w:val="Default"/>
              <w:jc w:val="left"/>
            </w:pPr>
            <w:r>
              <w:rPr>
                <w:b w:val="false"/>
                <w:bCs w:val="false"/>
                <w:color w:val="FFFFFF"/>
              </w:rPr>
              <w:t xml:space="preserve">69,13,997.74</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5. Breakeven Point (Sales Value)</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1,45,17,823.64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1,39,60,141.01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1,41,95,166.17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1,45,71,718.85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1,50,83,666.73</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6. Breakeven % (on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51.85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46.16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41.31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39.60</w:t>
            </w:r>
          </w:p>
        </w:tc>
      </w:tr>
    </w:tbl>
    <w:p>
      <w:pPr>
        <w:spacing w:after="400"/>
      </w:pPr>
    </w:p>
    <w:p>
      <w:r>
        <w:br w:type="page"/>
      </w:r>
    </w:p>
    <w:p>
      <w:pPr>
        <w:pStyle w:val="sectionHeading"/>
        <w:spacing w:after="200"/>
        <w:jc w:val="center"/>
      </w:pPr>
      <w:r>
        <w:t xml:space="preserve">Sensitivity Analysis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0"/>
        <w:gridCol w:w="12"/>
        <w:gridCol w:w="12"/>
        <w:gridCol w:w="12"/>
        <w:gridCol w:w="12"/>
        <w:gridCol w:w="12"/>
      </w:tblGrid>
      <w:tr>
        <w:trPr>
          <w:tblHeader/>
          <w:trHeight w:val="6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Particulars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2024-2025</w:t>
            </w:r>
          </w:p>
          <w:p>
            <w:pPr>
              <w:pStyle w:val="TableHeaderStyle"/>
              <w:jc w:val="center"/>
            </w:pPr>
            <w:r>
              <w:rPr>
                <w:b/>
                <w:bCs/>
                <w:color w:val="FFFFFF"/>
              </w:rPr>
              <w:t xml:space="preserve">(actual)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2025-2026</w:t>
            </w:r>
          </w:p>
          <w:p>
            <w:pPr>
              <w:pStyle w:val="TableHeaderStyle"/>
              <w:jc w:val="center"/>
            </w:pPr>
            <w:r>
              <w:rPr>
                <w:b/>
                <w:bCs/>
                <w:color w:val="FFFFFF"/>
              </w:rPr>
              <w:t xml:space="preserve">(provisional)</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2026-2027</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2027-2028</w:t>
            </w:r>
          </w:p>
          <w:p>
            <w:pPr>
              <w:pStyle w:val="TableHeaderStyle"/>
              <w:jc w:val="center"/>
            </w:pPr>
            <w:r>
              <w:rPr>
                <w:b/>
                <w:bCs/>
                <w:color w:val="FFFFFF"/>
              </w:rPr>
              <w:t xml:space="preserve">(projected)</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2028-2029</w:t>
            </w:r>
          </w:p>
          <w:p>
            <w:pPr>
              <w:pStyle w:val="TableHeaderStyle"/>
              <w:jc w:val="center"/>
            </w:pPr>
            <w:r>
              <w:rPr>
                <w:b/>
                <w:bCs/>
                <w:color w:val="FFFFFF"/>
              </w:rPr>
              <w:t xml:space="preserve">(projected)</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1. BASE CASE (PROJECTIONS)</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Profit After Tax</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40,92,342.32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50,84,326.79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57,53,198.11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65,19,661.44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71,76,940.29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4.39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4.62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2. SALES DECREASE BY 10%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Sales</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2,52,00,000.00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2,72,16,000.00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2,93,93,280.00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3,17,44,742.40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3,42,84,321.79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28,37,712.18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36,67,956.38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42,23,518.07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48,67,607.00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53,92,721.49</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3.42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3.79</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3. RAW MATERIAL/CONSUMABLE COST INCREASE BY 10%</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 (Unchanged)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31,34,972.46</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41,11,737.20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47,02,801.35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53,85,232.94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59,51,757.51</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3.35</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3.79</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4.10</w:t>
            </w:r>
          </w:p>
        </w:tc>
      </w:tr>
      <w:tr>
        <w:trPr>
          <w:trHeight w:val="300" w:hRule="atLeast"/>
        </w:trPr>
        <w:tc>
          <w:tcPr>
            <w:tcW w:type="pct" w:w="40%"/>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bCs/>
                <w:color w:val="FFFFFF"/>
              </w:rPr>
              <w:t xml:space="preserve">4. INTEREST RATE INCREASE BY 2%</w:t>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c>
          <w:tcPr>
            <w:tcW w:type="pct" w:w="12%"/>
            <w:tcBorders>
              <w:top w:val="single" w:color="000000" w:sz="1"/>
              <w:left w:val="single" w:color="000000" w:sz="1"/>
              <w:bottom w:val="single" w:color="000000" w:sz="1"/>
              <w:right w:val="single" w:color="000000" w:sz="1"/>
            </w:tcBorders>
            <w:shd w:fill="475569" w:color="475569" w:val="solid"/>
            <w:vAlign w:val="center"/>
          </w:tcPr>
          <w:p>
            <w:pPr>
              <w:pStyle w:val="Default"/>
              <w:jc w:val="left"/>
            </w:pPr>
            <w:r>
              <w:rPr>
                <w:b w:val="false"/>
                <w:bCs w:val="false"/>
                <w:color w:val="FFFFFF"/>
              </w:rPr>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Net Sales (Unchanged)</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2,80,00,000.00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3,02,40,000.00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3,26,59,200.00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3,52,71,936.00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3,80,93,690.88</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Revised Net Profit</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39,85,245.11</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49,97,048.28</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56,68,228.47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64,58,639.64</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71,42,243.10</w:t>
            </w:r>
          </w:p>
        </w:tc>
      </w:tr>
      <w:tr>
        <w:trPr>
          <w:trHeight w:val="300" w:hRule="atLeast"/>
        </w:trPr>
        <w:tc>
          <w:tcPr>
            <w:tcW w:type="pct" w:w="40%"/>
            <w:tcBorders>
              <w:top w:val="single" w:color="000000" w:sz="1"/>
              <w:left w:val="single" w:color="000000" w:sz="1"/>
              <w:bottom w:val="single" w:color="000000" w:sz="1"/>
              <w:right w:val="single" w:color="000000" w:sz="1"/>
            </w:tcBorders>
            <w:vAlign w:val="center"/>
          </w:tcPr>
          <w:p>
            <w:pPr>
              <w:pStyle w:val="Default"/>
              <w:jc w:val="left"/>
            </w:pPr>
            <w:r>
              <w:rPr>
                <w:b/>
                <w:bCs/>
                <w:color w:val="000000"/>
              </w:rPr>
              <w:t xml:space="preserve">Revised DSCR</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3.67</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4.02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4.22</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4.50</w:t>
            </w:r>
          </w:p>
        </w:tc>
        <w:tc>
          <w:tcPr>
            <w:tcW w:type="pct" w:w="12%"/>
            <w:tcBorders>
              <w:top w:val="single" w:color="000000" w:sz="1"/>
              <w:left w:val="single" w:color="000000" w:sz="1"/>
              <w:bottom w:val="single" w:color="000000" w:sz="1"/>
              <w:right w:val="single" w:color="000000" w:sz="1"/>
            </w:tcBorders>
            <w:vAlign w:val="center"/>
          </w:tcPr>
          <w:p>
            <w:pPr>
              <w:pStyle w:val="Default"/>
              <w:jc w:val="left"/>
            </w:pPr>
            <w:r>
              <w:rPr>
                <w:b w:val="false"/>
                <w:bCs w:val="false"/>
                <w:color w:val="000000"/>
              </w:rPr>
              <w:t xml:space="preserve">4.75</w:t>
            </w:r>
          </w:p>
        </w:tc>
      </w:tr>
    </w:tbl>
    <w:p>
      <w:pPr>
        <w:spacing w:after="400"/>
      </w:pPr>
    </w:p>
    <w:p>
      <w:r>
        <w:br w:type="page"/>
      </w:r>
    </w:p>
    <w:p>
      <w:pPr>
        <w:pStyle w:val="sectionHeading"/>
        <w:spacing w:after="200"/>
        <w:jc w:val="center"/>
      </w:pPr>
      <w:r>
        <w:t xml:space="preserve">EMI Repayment Schedule for Term Loan 1 (XYZ Bank Ltd.)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55,00,000.00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71,968.57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43,541.67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54,28,031.43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54,28,031.43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72,538.32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42,971.92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53,55,493.11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53,55,493.11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73,112.58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42,397.65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52,82,380.52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52,82,380.52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73,691.39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41,818.85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52,08,689.13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52,08,689.13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74,274.78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41,235.46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51,34,414.35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51,34,414.35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74,862.79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40,647.45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50,59,551.56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50,59,551.56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75,455.45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40,054.78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49,84,096.11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49,84,096.11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76,052.81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39,457.43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49,08,043.30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49,08,043.30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76,654.89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38,855.34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48,31,388.40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48,31,388.40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77,261.75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38,248.49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47,54,126.66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47,54,126.66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77,873.40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37,636.84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46,76,253.26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46,76,253.26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78,489.90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37,020.34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45,97,763.36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45,97,763.36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79,111.28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36,398.96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45,18,652.08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45,18,652.08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79,737.57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35,772.66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44,38,914.50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44,38,914.50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80,368.83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35,141.41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43,58,545.67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43,58,545.67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81,005.08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34,505.15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42,77,540.59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42,77,540.59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81,646.37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33,863.86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41,95,894.22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41,95,894.22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82,292.74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33,217.50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41,13,601.47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41,13,601.47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82,944.23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32,566.01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40,30,657.25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40,30,657.25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83,600.87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31,909.37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39,47,056.38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39,47,056.38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84,262.71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31,247.53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38,62,793.67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38,62,793.67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84,929.79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30,580.45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37,77,863.89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37,77,863.89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85,602.15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29,908.09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36,92,261.74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36,92,261.74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86,279.83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29,230.41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36,05,981.91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36,05,981.91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86,962.88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28,547.36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35,19,019.03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35,19,019.03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87,651.34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27,858.90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34,31,367.69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34,31,367.69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88,345.24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27,164.99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33,43,022.45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33,43,022.45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89,044.64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26,465.59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32,53,977.80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32,53,977.80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89,749.58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25,760.66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31,64,228.22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31,64,228.22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90,460.10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25,050.14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30,73,768.13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30,73,768.13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91,176.24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24,334.00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29,82,591.89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29,82,591.89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91,898.05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23,612.19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28,90,693.84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28,90,693.84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92,625.58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22,884.66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27,98,068.26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27,98,068.26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93,358.86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22,151.37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27,04,709.40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27,04,709.40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94,097.95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21,412.28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26,10,611.44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26,10,611.44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94,842.90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20,667.34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25,15,768.54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25,15,768.54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95,593.74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19,916.50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24,20,174.81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24,20,174.81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96,350.52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19,159.72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23,23,824.29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23,23,824.29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97,113.29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18,396.94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22,26,710.99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22,26,710.99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97,882.11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17,628.13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21,28,828.88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21,28,828.88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98,657.01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16,853.23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20,30,171.88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20,30,171.88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99,438.04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16,072.19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19,30,733.83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19,30,733.83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1,00,225.26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15,284.98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18,30,508.57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18,30,508.57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1,01,018.71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14,491.53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17,29,489.86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17,29,489.86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1,01,818.44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13,691.79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16,27,671.42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16,27,671.42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1,02,624.51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12,885.73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15,25,046.91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15,25,046.91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1,03,436.95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12,073.29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14,21,609.96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14,21,609.96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1,04,255.82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11,254.41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13,17,354.14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13,17,354.14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1,05,081.18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10,429.05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12,12,272.96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12,12,272.96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1,05,913.08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9,597.16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11,06,359.88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11,06,359.88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1,06,751.55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8,758.68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9,99,608.32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9,99,608.32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1,07,596.67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7,913.57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8,92,011.65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8,92,011.65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1,08,448.48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7,061.76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7,83,563.18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7,83,563.18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1,09,307.03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6,203.21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6,74,256.15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6,74,256.15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1,10,172.38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5,337.86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5,64,083.77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5,64,083.77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1,11,044.57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4,465.66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4,53,039.20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4,53,039.20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1,11,923.68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3,586.56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3,41,115.52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3,41,115.52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1,12,809.74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2,700.50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2,28,305.78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2,28,305.78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1,13,702.82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1,807.42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1,14,602.96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1,14,602.96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1,15,510.24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1,14,602.96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907.27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p>
      <w:r>
        <w:br w:type="page"/>
      </w:r>
    </w:p>
    <w:p>
      <w:pPr>
        <w:pStyle w:val="sectionHeading"/>
        <w:spacing w:after="200"/>
        <w:jc w:val="center"/>
      </w:pPr>
      <w:r>
        <w:t xml:space="preserve">EMI Repayment Schedule for Term Loan 2 (XYZ Bank Ltd.)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rPr>
          <w:tblHeader/>
          <w:trHeight w:val="400" w:hRule="atLeast"/>
        </w:trPr>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Month</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Payment Date</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Opening Bal.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EMI</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Principal</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Interest</w:t>
            </w:r>
          </w:p>
        </w:tc>
        <w:tc>
          <w:tcPr>
            <w:tcBorders>
              <w:top w:val="single" w:color="000000" w:sz="1"/>
              <w:left w:val="single" w:color="000000" w:sz="1"/>
              <w:bottom w:val="single" w:color="000000" w:sz="1"/>
              <w:right w:val="single" w:color="000000" w:sz="1"/>
            </w:tcBorders>
            <w:shd w:fill="475569" w:color="475569" w:val="solid"/>
            <w:vAlign w:val="center"/>
          </w:tcPr>
          <w:p>
            <w:pPr>
              <w:pStyle w:val="TableHeaderStyle"/>
              <w:jc w:val="center"/>
            </w:pPr>
            <w:r>
              <w:rPr>
                <w:b/>
                <w:bCs/>
                <w:color w:val="FFFFFF"/>
              </w:rPr>
              <w:t xml:space="preserve">Closing Bal.</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15,00,000.00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19,627.79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11,875.00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14,80,372.21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14,80,372.21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19,783.18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11,719.61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14,60,589.03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14,60,589.03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19,939.80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11,563.00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14,40,649.23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14,40,649.23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20,097.65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11,405.14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14,20,551.58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14,20,551.58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20,256.76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11,246.03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14,00,294.82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14,00,294.82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20,417.12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11,085.67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13,79,877.70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13,79,877.70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20,578.76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10,924.03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13,59,298.94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13,59,298.94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20,741.68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10,761.12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13,38,557.26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13,38,557.26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20,905.88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10,596.91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13,17,651.38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13,17,651.38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21,071.39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10,431.41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12,96,580.00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12,96,580.00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21,238.20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10,264.59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12,75,341.80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12,75,341.80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21,406.34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10,096.46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12,53,935.46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12,53,935.46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21,575.80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9,926.99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12,32,359.66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12,32,359.66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21,746.61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9,756.18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12,10,613.05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12,10,613.05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21,918.77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9,584.02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11,88,694.27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11,88,694.27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22,092.30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9,410.50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11,66,601.98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11,66,601.98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22,267.19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9,235.60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11,44,334.79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11,44,334.79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22,443.47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9,059.32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11,21,891.31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19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11,21,891.31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22,621.15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8,881.64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10,99,270.16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10,99,270.16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22,800.24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8,702.56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10,76,469.92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10,76,469.92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22,980.74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8,522.05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10,53,489.18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10,53,489.18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23,162.67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8,340.12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10,30,326.51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10,30,326.51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23,346.04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8,156.75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10,06,980.47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10,06,980.47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23,530.86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7,971.93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9,83,449.61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9,83,449.61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23,717.15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7,785.64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9,59,732.46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9,59,732.46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23,904.91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7,597.88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9,35,827.55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9,35,827.55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24,094.16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7,408.63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9,11,733.39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9,11,733.39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24,284.90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7,217.89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8,87,448.49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29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8,87,448.49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24,477.16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7,025.63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8,62,971.33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8,62,971.33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24,670.94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6,831.86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8,38,300.40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8,38,300.40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24,866.25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6,636.54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8,13,434.15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8,13,434.15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25,063.10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6,439.69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7,88,371.05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7,88,371.05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25,261.52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6,241.27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7,63,109.53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7,63,109.53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25,461.51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6,041.28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7,37,648.02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7,37,648.02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25,663.08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5,839.71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7,11,984.94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7,11,984.94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25,866.24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5,636.55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6,86,118.69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6,86,118.69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26,071.02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5,431.77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6,60,047.68</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6,60,047.68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26,277.41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5,225.38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6,33,770.26</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39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6,33,770.26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26,485.44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5,017.35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6,07,284.82</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6,07,284.82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26,695.12</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4,807.67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5,80,589.70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5,80,589.70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26,906.46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4,596.34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5,53,683.24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5,53,683.24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27,119.47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4,383.33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5,26,563.77</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5,26,563.77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27,334.16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4,168.63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4,99,229.61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4,99,229.61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27,550.56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3,952.23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4,71,679.05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4,71,679.05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27,768.67</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3,734.13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4,43,910.39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4,43,910.39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27,988.50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3,514.29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4,15,921.89</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4,15,921.89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28,210.08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3,292.71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3,87,711.81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3,87,711.81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28,433.41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3,069.39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3,59,278.40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49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Apr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3,59,278.40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28,658.50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2,844.29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3,30,619.90</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May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3,30,619.90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28,885.38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2,617.41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3,01,734.51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51</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Jun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3,01,734.51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29,114.06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2,388.73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2,72,620.45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52</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Jul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2,72,620.45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29,344.55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2,158.25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2,43,275.91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53</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Aug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2,43,275.91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29,576.86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1,925.93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2,13,699.05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54</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Sept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2,13,699.05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29,811.01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1,691.78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1,83,888.04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55</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Oct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1,83,888.04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30,047.01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1,455.78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1,53,841.03</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56</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Nov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1,53,841.03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30,284.88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1,217.91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1,23,556.14</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57</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Dec 2028</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1,23,556.14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30,524.64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978.15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93,031.51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58</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Jan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93,031.51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30,766.29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736.50</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62,265.21</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59</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Feb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62,265.21</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31,009.86</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492.93</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31,255.35</w:t>
            </w:r>
          </w:p>
        </w:tc>
      </w:tr>
      <w:tr>
        <w:trPr>
          <w:trHeight w:val="300" w:hRule="atLeast"/>
        </w:trPr>
        <w:tc>
          <w:tcPr>
            <w:tcBorders>
              <w:top w:val="single" w:color="000000" w:sz="1"/>
              <w:left w:val="single" w:color="000000" w:sz="1"/>
              <w:bottom w:val="single" w:color="000000" w:sz="1"/>
              <w:right w:val="single" w:color="000000" w:sz="1"/>
            </w:tcBorders>
            <w:vAlign w:val="center"/>
          </w:tcPr>
          <w:p>
            <w:pPr>
              <w:pStyle w:val="Default"/>
              <w:jc w:val="center"/>
            </w:pPr>
            <w:r>
              <w:t xml:space="preserve">60</w:t>
            </w:r>
          </w:p>
        </w:tc>
        <w:tc>
          <w:tcPr>
            <w:tcBorders>
              <w:top w:val="single" w:color="000000" w:sz="1"/>
              <w:left w:val="single" w:color="000000" w:sz="1"/>
              <w:bottom w:val="single" w:color="000000" w:sz="1"/>
              <w:right w:val="single" w:color="000000" w:sz="1"/>
            </w:tcBorders>
            <w:vAlign w:val="center"/>
          </w:tcPr>
          <w:p>
            <w:pPr>
              <w:pStyle w:val="Default"/>
              <w:jc w:val="center"/>
            </w:pPr>
            <w:r>
              <w:t xml:space="preserve">01 Mar 2029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31,255.35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31,502.79</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31,255.35</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247.44</w:t>
            </w:r>
          </w:p>
        </w:tc>
        <w:tc>
          <w:tcPr>
            <w:tcBorders>
              <w:top w:val="single" w:color="000000" w:sz="1"/>
              <w:left w:val="single" w:color="000000" w:sz="1"/>
              <w:bottom w:val="single" w:color="000000" w:sz="1"/>
              <w:right w:val="single" w:color="000000" w:sz="1"/>
            </w:tcBorders>
            <w:vAlign w:val="center"/>
          </w:tcPr>
          <w:p>
            <w:pPr>
              <w:pStyle w:val="Default"/>
              <w:jc w:val="right"/>
            </w:pPr>
            <w:r>
              <w:t xml:space="preserve">0.00</w:t>
            </w:r>
          </w:p>
        </w:tc>
      </w:tr>
    </w:tbl>
    <w:sectPr>
      <w:footerReference w:type="default" r:id="rId6"/>
      <w:pgSz w:w="11906" w:h="16838" w:orient="portrait"/>
      <w:pgMar w:top="720" w:right="720" w:bottom="720" w:left="720" w:header="708" w:footer="708" w:gutter="0"/>
      <w:pgBorders w:display="allPages" w:offsetFrom="page" w:zOrder="front"/>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t xml:space="preserve">Page </w:t>
    </w:r>
    <w:r>
      <w:fldChar w:fldCharType="begin"/>
      <w:instrText xml:space="preserve">PAGE</w:instrText>
      <w:fldChar w:fldCharType="separate"/>
      <w:fldChar w:fldCharType="end"/>
    </w:r>
    <w: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uri="http://schemas.microsoft.com/office/word" w:name="compatibilityMode"/>
  </w:compat>
  <w:documentProtection w:edit="readOnly" w:enforcement="1" w:cryptProviderType="rsaFull" w:hash="1Tiy+Xa1a9R9o1lKk+q6xQ==" w:salt="U1VjTHBvQWZJbGZrZ3Z5aA==" w:cryptAlgorithmType="typeAES" w:cryptAlgorithmSid="14" w:cryptSpinCount="10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10pt"/>
        <w:szCs w:val="10pt"/>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rPr>
      <w:sz w:val="10pt"/>
      <w:szCs w:val="10pt"/>
      <w:rFonts w:ascii="Calibri" w:cs="Calibri" w:eastAsia="Calibri" w:hAnsi="Calibri"/>
    </w:rPr>
  </w:style>
  <w:style w:type="paragraph" w:styleId="Strong">
    <w:name w:val="Strong"/>
    <w:basedOn w:val="Normal"/>
    <w:rPr>
      <w:b/>
      <w:bCs/>
      <w:sz w:val="10pt"/>
      <w:szCs w:val="10pt"/>
      <w:rFonts w:ascii="Calibri" w:cs="Calibri" w:eastAsia="Calibri" w:hAnsi="Calibri"/>
    </w:rPr>
  </w:style>
  <w:style w:type="paragraph" w:styleId="TableHeaderStyle">
    <w:name w:val="Table Header Style"/>
    <w:basedOn w:val="Normal"/>
    <w:rPr>
      <w:b/>
      <w:bCs/>
      <w:sz w:val="10pt"/>
      <w:szCs w:val="10pt"/>
      <w:rFonts w:ascii="Calibri" w:cs="Calibri" w:eastAsia="Calibri" w:hAnsi="Calibri"/>
    </w:rPr>
  </w:style>
  <w:style w:type="paragraph" w:styleId="sectionHeading">
    <w:name w:val="Section Heading"/>
    <w:basedOn w:val="Normal"/>
    <w:pPr>
      <w:spacing w:before="240" w:after="120"/>
    </w:pPr>
    <w:rPr>
      <w:b/>
      <w:bCs/>
      <w:color w:val="475569"/>
      <w:sz w:val="14pt"/>
      <w:szCs w:val="14pt"/>
      <w:rFonts w:ascii="Calibri" w:cs="Calibri" w:eastAsia="Calibri" w:hAnsi="Calibri"/>
    </w:rPr>
  </w:style>
  <w:style w:type="paragraph" w:styleId="docTitle">
    <w:name w:val="Document Title"/>
    <w:basedOn w:val="Normal"/>
    <w:pPr>
      <w:spacing w:before="240" w:after="240"/>
    </w:pPr>
    <w:rPr>
      <w:b/>
      <w:bCs/>
      <w:color w:val="475569"/>
      <w:sz w:val="18pt"/>
      <w:szCs w:val="18pt"/>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07k1vmzmud4ohdxyra_7p.png"/><Relationship Id="rId8" Type="http://schemas.openxmlformats.org/officeDocument/2006/relationships/image" Target="media/t2murv0pljgbmiriggfhw.png"/><Relationship Id="rId9" Type="http://schemas.openxmlformats.org/officeDocument/2006/relationships/image" Target="media/he_ko5h78ea9ayzltjqoq.png"/><Relationship Id="rId10" Type="http://schemas.openxmlformats.org/officeDocument/2006/relationships/image" Target="media/4eyfxkkvz6pth6kjlux_t.png"/><Relationship Id="rId11" Type="http://schemas.openxmlformats.org/officeDocument/2006/relationships/image" Target="media/qy88mejs28_u4goypjy5f.png"/><Relationship Id="rId12" Type="http://schemas.openxmlformats.org/officeDocument/2006/relationships/image" Target="media/76bwljzzyte9iwmkwnaas.png"/><Relationship Id="rId13" Type="http://schemas.openxmlformats.org/officeDocument/2006/relationships/image" Target="media/puyygpmtxefqcmrz-pdqc.png"/><Relationship Id="rId14" Type="http://schemas.openxmlformats.org/officeDocument/2006/relationships/image" Target="media/zwzam8r7nzvshla3y2kjb.png"/><Relationship Id="rId15" Type="http://schemas.openxmlformats.org/officeDocument/2006/relationships/image" Target="media/mysge82p0gfums3e2f2vt.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2026-10-10T14:22:50.745Z</dcterms:created>
  <dcterms:modified xsi:type="dcterms:W3CDTF">2026-10-10T14:22:50.745Z</dcterms:modified>
</cp:coreProperties>
</file>

<file path=docProps/custom.xml><?xml version="1.0" encoding="utf-8"?>
<Properties xmlns="http://schemas.openxmlformats.org/officeDocument/2006/custom-properties" xmlns:vt="http://schemas.openxmlformats.org/officeDocument/2006/docPropsVTypes"/>
</file>