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500"/>
      </w:pPr>
    </w:p>
    <w:p>
      <w:pPr>
        <w:spacing w:after="500"/>
        <w:jc w:val="center"/>
      </w:pPr>
      <w:r>
        <w:drawing>
          <wp:inline distT="0" distB="0" distL="0" distR="0">
            <wp:extent cx="428625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286250" cy="2857500"/>
                    </a:xfrm>
                    <a:prstGeom prst="rect">
                      <a:avLst/>
                    </a:prstGeom>
                  </pic:spPr>
                </pic:pic>
              </a:graphicData>
            </a:graphic>
          </wp:inline>
        </w:drawing>
      </w:r>
    </w:p>
    <w:p>
      <w:pPr>
        <w:spacing w:after="1200" w:before="500"/>
        <w:jc w:val="center"/>
      </w:pPr>
      <w:r>
        <w:rPr>
          <w:b/>
          <w:bCs/>
          <w:sz w:val="48"/>
          <w:szCs w:val="48"/>
          <w:rFonts w:ascii="Arial" w:cs="Arial" w:eastAsia="Arial" w:hAnsi="Arial"/>
        </w:rPr>
        <w:t xml:space="preserve">Credit Monitoring Analysis (C M A)</w:t>
      </w:r>
    </w:p>
    <w:p>
      <w:pPr>
        <w:spacing w:after="1000" w:before="1000"/>
        <w:jc w:val="center"/>
      </w:pPr>
      <w:r>
        <w:rPr>
          <w:sz w:val="36"/>
          <w:szCs w:val="36"/>
          <w:rFonts w:ascii="Arial" w:cs="Arial" w:eastAsia="Arial" w:hAnsi="Arial"/>
        </w:rPr>
        <w:t xml:space="preserve">Of</w:t>
      </w:r>
    </w:p>
    <w:p>
      <w:pPr>
        <w:spacing w:after="300" w:before="0"/>
        <w:jc w:val="center"/>
      </w:pPr>
      <w:r>
        <w:rPr>
          <w:b/>
          <w:bCs/>
          <w:sz w:val="60"/>
          <w:szCs w:val="60"/>
          <w:rFonts w:ascii="Arial" w:cs="Arial" w:eastAsia="Arial" w:hAnsi="Arial"/>
        </w:rPr>
        <w:t xml:space="preserve">FINXORA</w:t>
      </w:r>
    </w:p>
    <w:p>
      <w:pPr>
        <w:spacing w:before="100" w:after="100"/>
        <w:jc w:val="center"/>
      </w:pPr>
      <w:r>
        <w:rPr>
          <w:sz w:val="28"/>
          <w:szCs w:val="28"/>
          <w:rFonts w:ascii="Arial" w:cs="Arial" w:eastAsia="Arial" w:hAnsi="Arial"/>
        </w:rPr>
        <w:t xml:space="preserve">Proprietor: FINXORA</w:t>
      </w:r>
    </w:p>
    <w:p>
      <w:pPr>
        <w:spacing w:before="150" w:after="3300"/>
        <w:jc w:val="center"/>
      </w:pPr>
      <w:r>
        <w:rPr>
          <w:b/>
          <w:bCs/>
          <w:sz w:val="28"/>
          <w:szCs w:val="28"/>
          <w:rFonts w:ascii="Arial" w:cs="Arial" w:eastAsia="Arial" w:hAnsi="Arial"/>
        </w:rPr>
        <w:t xml:space="preserve">For Term Loan of 5,00,000.00 /- and CC of 5,00,000.00 /-</w:t>
      </w:r>
    </w:p>
    <w:p>
      <w:pPr>
        <w:sectPr>
          <w:pgSz w:w="11906" w:h="16838" w:orient="portrait"/>
          <w:pgMar w:top="720" w:right="720" w:bottom="720" w:left="720" w:header="708" w:footer="708" w:gutter="0"/>
          <w:pgNumType/>
          <w:docGrid w:linePitch="360"/>
        </w:sectPr>
      </w:pPr>
    </w:p>
    <w:p>
      <w:pPr>
        <w:pStyle w:val="docTitle"/>
        <w:spacing w:after="300" w:before="200"/>
        <w:jc w:val="center"/>
      </w:pPr>
      <w:r>
        <w:t xml:space="preserve">COMPANY PROFILE</w:t>
      </w:r>
    </w:p>
    <w:p>
      <w:pPr>
        <w:pStyle w:val="sectionHeading"/>
        <w:spacing w:after="150" w:before="150"/>
        <w:jc w:val="left"/>
      </w:pPr>
      <w:r>
        <w:t xml:space="preserve">I. Company Information</w:t>
      </w:r>
    </w:p>
    <w:tbl>
      <w:tblPr>
        <w:tblW w:type="pct" w:w="90%"/>
        <w:jc w:val="center"/>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Name of the Company/Firm</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FINXORA</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Proprietor Name</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FINXORA</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Constitution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proprietorship</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Address</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Ward no 11, Ganj Basoda, Dist. Vidisha, Madhya Pradesh, 464221, India</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PAN No.</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AABPB1234C</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Date of Incorporation/Birth</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20-Feb-2025</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Industry</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SERVICE PROVIDING</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Type of Business</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SERVICE PROVIDING</w:t>
            </w:r>
          </w:p>
        </w:tc>
      </w:tr>
    </w:tbl>
    <w:p>
      <w:pPr>
        <w:spacing w:after="150"/>
      </w:pPr>
    </w:p>
    <w:p>
      <w:pPr>
        <w:pStyle w:val="sectionHeading"/>
        <w:spacing w:after="150" w:before="150"/>
        <w:jc w:val="left"/>
      </w:pPr>
      <w:r>
        <w:t xml:space="preserve">II. Project &amp; Financial Overview</w:t>
      </w:r>
    </w:p>
    <w:tbl>
      <w:tblPr>
        <w:tblW w:type="pct" w:w="90%"/>
        <w:jc w:val="center"/>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Report Period</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2024 - 2028</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Currency</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Amount In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Actual</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Total Project Cost</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15,00,000.00</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Term Loan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5,00,000.00</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Term Loan Interest Rate (%)</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10.85%</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Term Loan EMI (per month)</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10,833.85</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Working Capital Loan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5,00,000.00</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WC Loan Interest Rate (%)</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11%</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Own Contribution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5,00,000.00</w:t>
            </w:r>
          </w:p>
        </w:tc>
      </w:tr>
    </w:tbl>
    <w:p>
      <w:pPr>
        <w:spacing w:after="200"/>
      </w:pPr>
    </w:p>
    <w:p>
      <w:r>
        <w:br w:type="page"/>
      </w:r>
    </w:p>
    <w:p>
      <w:pPr>
        <w:pStyle w:val="sectionHeading"/>
        <w:spacing w:after="200" w:before="400"/>
        <w:jc w:val="center"/>
      </w:pPr>
      <w:r>
        <w:t xml:space="preserve">Introduction</w:t>
      </w:r>
    </w:p>
    <w:p>
      <w:pPr>
        <w:pStyle w:val="Default"/>
        <w:spacing w:after="120"/>
        <w:jc w:val="both"/>
      </w:pPr>
      <w:r>
        <w:t xml:space="preserve">AVINASH CYCLE STORES, located in Bihariganj, Madhepura, is a well-established trading business focused on the distribution and sale of bicycles and related accessories. This Credit Monitoring Analysis (CMA) report provides a comprehensive assessment of the firm's financial standing, operational efficiency, and market position. The purpose of this report is to evaluate AVINASH CYCLE STORES' ability to secure and effectively utilize a loan of INR 500,000 to support its ongoing operations and expansion plans. The project cost is estimated at INR 500,000. This analysis will delve into the key aspects of the business, including market dynamics, operational strategies, and financial performance, to provide a clear understanding of the company's creditworthiness.</w:t>
      </w:r>
    </w:p>
    <w:p>
      <w:pPr>
        <w:spacing w:after="200"/>
      </w:pPr>
    </w:p>
    <w:p>
      <w:pPr>
        <w:pStyle w:val="sectionHeading"/>
        <w:spacing w:after="200" w:before="400"/>
        <w:jc w:val="center"/>
      </w:pPr>
      <w:r>
        <w:t xml:space="preserve">Market Analysis</w:t>
      </w:r>
    </w:p>
    <w:p>
      <w:pPr>
        <w:pStyle w:val="Default"/>
        <w:spacing w:after="120"/>
        <w:jc w:val="both"/>
      </w:pPr>
      <w:r>
        <w:t xml:space="preserve">The bicycle trading sector in the Bihariganj, Madhepura area presents a dynamic landscape, driven by factors such as increasing awareness of health and fitness, rising fuel costs, and growing environmental consciousness. AVINASH CYCLE STORES operates within a region where bicycles serve as a primary mode of transportation for many, particularly in rural and semi-urban areas. The market is characterized by a mix of local and national players, offering a wide range of bicycle models, from basic commuter bikes to more advanced sports and electric bicycles. The demand for bicycles is also influenced by seasonal factors, with peak sales typically occurring during festivals and school openings. The competitive landscape includes other local bicycle retailers and distributors, as well as online marketplaces that are gradually gaining traction. AVINASH CYCLE STORES' success hinges on its ability to effectively cater to the specific needs and preferences of the local market, offering a diverse product range, competitive pricing, and superior customer service.</w:t>
      </w:r>
    </w:p>
    <w:p>
      <w:pPr>
        <w:spacing w:after="200"/>
      </w:pPr>
    </w:p>
    <w:p>
      <w:pPr>
        <w:pStyle w:val="sectionHeading"/>
        <w:spacing w:after="200" w:before="400"/>
        <w:jc w:val="center"/>
      </w:pPr>
      <w:r>
        <w:t xml:space="preserve">Operational Strategy</w:t>
      </w:r>
    </w:p>
    <w:p>
      <w:pPr>
        <w:pStyle w:val="Default"/>
        <w:spacing w:after="120"/>
        <w:jc w:val="both"/>
      </w:pPr>
      <w:r>
        <w:t xml:space="preserve">AVINASH CYCLE STORES' operational strategy is centered around efficient procurement, inventory management, and sales and distribution. The firm sources its bicycles and accessories from reputable manufacturers and suppliers, ensuring quality and competitive pricing. Effective inventory management is crucial to minimize holding costs and prevent stockouts, especially during peak seasons. The sales and distribution strategy involves a combination of direct sales through the retail outlet in Bihariganj, Madhepura, and potential expansion into nearby areas. The store layout and merchandising are designed to attract customers and showcase the range of products available. Customer service is a key differentiator, with knowledgeable staff providing assistance and guidance to customers in selecting the right bicycle and accessories. After-sales service, including repairs and maintenance, is also offered to build customer loyalty and generate repeat business. The loan of INR 500,000 will be instrumental in optimizing the inventory levels and enhancing the overall operational efficiency of AVINASH CYCLE STORES.</w:t>
      </w:r>
    </w:p>
    <w:p>
      <w:pPr>
        <w:spacing w:after="200"/>
      </w:pPr>
    </w:p>
    <w:p>
      <w:pPr>
        <w:pStyle w:val="sectionHeading"/>
        <w:spacing w:after="200" w:before="400"/>
        <w:jc w:val="center"/>
      </w:pPr>
      <w:r>
        <w:t xml:space="preserve">Management and Expertise</w:t>
      </w:r>
    </w:p>
    <w:p>
      <w:pPr>
        <w:pStyle w:val="Default"/>
        <w:spacing w:after="120"/>
        <w:jc w:val="both"/>
      </w:pPr>
      <w:r>
        <w:t xml:space="preserve">The success of AVINASH CYCLE STORES is significantly influenced by the expertise and experience of its management team. The key personnel possess a deep understanding of the local market, bicycle industry trends, and customer preferences. Their experience in trading operations, financial management, and customer relationship management is crucial for driving the growth and profitability of the business. The management team is responsible for strategic planning, procurement, sales and marketing, and day-to-day operations. They also play a vital role in building and maintaining relationships with suppliers, customers, and other stakeholders. Continuous training and development programs are essential to keep the management team abreast of the latest industry trends and best practices. The leadership's vision and commitment to providing quality products and services are essential for sustaining AVINASH CYCLE STORES' competitive advantage.</w:t>
      </w:r>
    </w:p>
    <w:p>
      <w:pPr>
        <w:spacing w:after="200"/>
      </w:pPr>
    </w:p>
    <w:p>
      <w:pPr>
        <w:pStyle w:val="sectionHeading"/>
        <w:spacing w:after="200" w:before="400"/>
        <w:jc w:val="center"/>
      </w:pPr>
      <w:r>
        <w:t xml:space="preserve">Financial Performance and Projections</w:t>
      </w:r>
    </w:p>
    <w:p>
      <w:pPr>
        <w:pStyle w:val="Default"/>
        <w:spacing w:after="120"/>
        <w:jc w:val="both"/>
      </w:pPr>
      <w:r>
        <w:t xml:space="preserve">AVINASH CYCLE STORES has demonstrated consistent financial performance over the past few years, with steady revenue growth and healthy profit margins. The firm's financial statements reflect a strong track record of sales and efficient cost management. The proposed loan of INR 500,000 is expected to further enhance the financial performance of the business by enabling it to optimize inventory levels, expand its product range, and improve its marketing efforts. Financial projections indicate that the loan will generate a significant return on investment, with increased sales and profitability over the next few years. The firm's ability to effectively manage its working capital and maintain a healthy cash flow is crucial for ensuring its long-term financial stability. Regular monitoring of key financial metrics, such as revenue, cost of goods sold, operating expenses, and net profit, is essential for tracking progress and identifying potential areas for improvement.</w:t>
      </w:r>
    </w:p>
    <w:p>
      <w:pPr>
        <w:spacing w:after="200"/>
      </w:pPr>
    </w:p>
    <w:p>
      <w:pPr>
        <w:pStyle w:val="sectionHeading"/>
        <w:spacing w:after="200" w:before="400"/>
        <w:jc w:val="center"/>
      </w:pPr>
      <w:r>
        <w:t xml:space="preserve">Conclusion</w:t>
      </w:r>
    </w:p>
    <w:p>
      <w:pPr>
        <w:pStyle w:val="Default"/>
        <w:spacing w:after="120"/>
        <w:jc w:val="both"/>
      </w:pPr>
      <w:r>
        <w:t xml:space="preserve">AVINASH CYCLE STORES is a well-managed and financially stable trading business with a strong presence in the Bihariganj, Madhepura area. The firm's operational efficiency, customer-centric approach, and experienced management team are key strengths that contribute to its success. The proposed loan of INR 500,000 will provide the necessary capital to optimize inventory levels, expand the product range, and enhance marketing efforts, leading to increased sales and profitability. The future outlook for AVINASH CYCLE STORES is positive, with significant potential for growth and expansion in the bicycle trading sector. The firm's commitment to providing quality products and services, coupled with its strong financial performance, makes it a creditworthy borrower and a valuable asset to the local community.</w:t>
      </w:r>
    </w:p>
    <w:p>
      <w:pPr>
        <w:spacing w:after="200"/>
      </w:pPr>
    </w:p>
    <w:p>
      <w:r>
        <w:br w:type="page"/>
      </w:r>
    </w:p>
    <w:p>
      <w:pPr>
        <w:pStyle w:val="sectionHeading"/>
        <w:spacing w:after="200"/>
        <w:jc w:val="center"/>
      </w:pPr>
      <w:r>
        <w:t xml:space="preserve">Operating Statement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1. Gross Sales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 Sales &amp; Services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39,58,600.00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45,76,141.60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 Export Sales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(iii) Add other revenue income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Total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39,58,600.00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45,76,141.60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57,47,633.85</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63,22,397.24</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 Less excise duty</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Deduct other items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3. Net Sales (item 1 - item 2)</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39,58,600.00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45,76,141.60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57,47,633.85</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63,22,397.24</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 % age rise (+) or fall (-) in net sales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5. Cost of Sales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  (i) Raw Material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Raw Material - (a) Imported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Raw Material - (b) Indigenous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  (ii) Other Consumables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28,20,095.00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35,44,577.41</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44,86,726.09</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49,15,657.10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54,07,222.81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Other Consumables - (a) Imported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Other Consumables - (b) Indigenous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28,20,095.00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35,44,577.41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44,86,726.09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49,15,657.10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54,07,222.81</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  (iii) Packing Material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Packing Material - (a) Imported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Packing Material - (b) Indigenous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(iv) Power and Fuel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(v) Direct Labour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(vi) Other mfg. expenses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56,820.00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65,683.92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78,820.70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94,584.84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1,13,501.81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(vii)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65,585.00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56,577.15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48,837.49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42,184.08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36,461.47</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(viii) Sub Total (i to vii)</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29,42,500.00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36,66,838.48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46,14,384.28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50,52,426.02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55,57,186.09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(ix) Add: Opening stocks-in-Process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(x) Deduct: Closing stocks-in-Process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(xi) Cost of Production</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29,42,500.00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36,66,838.48</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46,14,384.28</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50,52,426.02</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55,57,186.09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(xii) Add : Opening Stock of Finished Goods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5,58,960.00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2,65,480.00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3,07,133.81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3,70,096.24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4,07,105.86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(xiii) Deduct: Closing stocks of Finished Goods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2,65,480.00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3,07,133.81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3,70,096.24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4,07,105.86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4,47,816.45</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Sub-Total (Total Cost of Sales)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32,35,980.00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36,25,184.67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45,51,421.85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50,15,416.40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55,16,475.50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6. Selling, general and administrative exp.</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Selling and Admin Expenses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1,59,820.00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1,84,815.85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2,03,297.44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2,23,627.18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2,45,989.90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Selling, general and administrative exp.</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1,59,820.00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1,84,815.85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2,03,297.44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2,23,627.18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2,45,989.90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7. Sub Total (5+6)(Total Cost of Sales)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33,95,800.00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38,10,000.52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47,54,719.29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52,39,043.58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57,62,465.40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8. Operating Profit before Interest (3-7)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7,66,141.08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9,92,914.56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10,83,353.66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11,92,171.56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 Interest on WC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55,000.00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Interest on TL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42,576.80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42,865.95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32,926.60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21,853.55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10. Operating profit after interest (8-9)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11. (i) Add other non-operating income</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Other Income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I - Sub Total (Income)</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(ii) Deduct other non-operation expenses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II - Sub Total (expenses)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III - Net of other non-operation income/exp. (I - II)</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12. Profit before tax [10+11(iii)]</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13. Provision for taxes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Deferred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14. Net Profit/loss (12-13)</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5,62,800.00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6,68,564.28</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8,95,048.61</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9,95,427.06</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 (a) Equity dividend paid -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16. Retained Profit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17. Retained Profit/Net Profit (% Age)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NP Ratio</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14.22</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14.61</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15.57</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15.74</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16.04</w:t>
            </w:r>
          </w:p>
        </w:tc>
      </w:tr>
    </w:tbl>
    <w:p>
      <w:pPr>
        <w:spacing w:after="400"/>
      </w:pPr>
    </w:p>
    <w:p>
      <w:r>
        <w:br w:type="page"/>
      </w:r>
    </w:p>
    <w:p>
      <w:pPr>
        <w:pStyle w:val="sectionHeading"/>
        <w:spacing w:after="200"/>
        <w:jc w:val="center"/>
      </w:pPr>
      <w:r>
        <w:t xml:space="preserve">Balance Sheet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CURRENT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 Borrowing from Banks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 From Applicant Bank</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 From Other Bank</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(iii) (of which OCC discount)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Sub Total(a)</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 Short Term Borrowings From Others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 Sundry Creditor (Trade)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1,52,690.00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1,76,509.64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1,94,160.60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2,13,576.66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2,34,934.33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 Advance payments from customers/deposits from dealers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 Provision for taxation</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 Dividend payable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 Other statutory liabilities (plus within one year)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 Deposits/repayments of term loans (plus within one year)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87,140.20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97,079.55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1,08,152.60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1,20,488.66</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9. Other current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Other current liabilities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Sub Total (b)</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1,52,690.00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2,63,649.84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2,91,240.15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3,21,729.26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3,55,422.99</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10. TOTAL CURRENT LIABILITIES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1,52,690.00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2,63,649.84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2,91,240.15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3,21,729.26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3,55,422.99</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TERM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11.Debentures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12.Preference shares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13.Term loans(excl. old installments payable within one year)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3,47,098.14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2,50,018.59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1,41,865.99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21,377.33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14.Deferred Payment Credits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15.Long Term Advances (repayable after one year)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16.Other Term liabilities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2,58,940.00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2,26,572.50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1,98,250.94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1,73,469.57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1,51,785.87</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17. TOTAL TERM LIABILITIES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2,58,940.00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5,73,670.64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4,48,269.53</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3,15,335.56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1,73,163.20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18. TOTAL OUTSIDE LIABILITIES (10+17)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4,11,630.00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8,37,320.48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7,39,509.68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6,37,064.82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5,28,586.19</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NET WORTH</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 Capital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12,58,000.00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14,70,800.00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16,89,364.28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20,89,412.89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25,40,339.95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20.Other Income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21.Share application money</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22.Other reserves (subsidy)</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23.Surplus or deficit in Profit and loss A/c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24.Drawings (Withdrawal)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3,50,000.00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4,50,000.00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4,95,000.00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5,44,500.00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5,98,950.00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25. NET WORTH</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14,70,800.00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16,89,364.28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20,89,412.89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25,40,339.95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30,56,707.96</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26. TOTAL LIABILITIES [18+25]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18,82,430.00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25,26,684.76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28,28,922.57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31,77,404.77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35,85,294.15</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CURRENT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26.Cash and bank balances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2,65,890.00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3,07,368.84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3,64,816.08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4,35,955.22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5,34,045.14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27. Investments (other than long term Investments)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 Government and other Trustee Securities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(ii)Fixed deposits with Banks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28.(i) Receivables (Debtors &lt; 6 months) other than deferred and exports(including bills purchased and discounted by banks)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1,72,505.00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7,47,546.26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9,31,288.09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11,62,189.43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14,10,961.97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(ii)Export receivables((including bills purchased and discounted by banks)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 Instalments of deferred receivables(due within one year)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30. Inventory</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(i) Raw Materials( including stores and other items used in the process of manufacture)</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Imported Raw Materials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Indigenous Raw Materials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 Stocks-in-Process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(iii) Finished Goods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2,65,480.00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3,07,133.81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3,70,096.24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4,07,105.86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4,47,816.45</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  (iv) Other Consumables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Imported Consumables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Indigenous Consumables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  (v) Packing Material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Imported Packing Material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Indigenous Packing Material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Sub-Total Inventory</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2,65,480.00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3,07,133.81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3,70,096.24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4,07,105.86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4,47,816.45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31.Advances to suppliers of raw material, stores and expenses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4,26,580.00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4,69,238.00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5,16,161.80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5,67,777.98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6,24,555.78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32.Advance payment of taxes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33. Other current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Excise deposits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Int. receivable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 Misc.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Sub-Total Other Current Assets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34. TOTAL CURRENT ASSETS [total of 26 to 33]</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14,55,455.00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21,56,286.91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25,07,362.21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28,98,028.49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33,42,379.34</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FIXED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35.Gross Block</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4,92,560.00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4,26,975.00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3,70,397.85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3,21,560.36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2,79,376.28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36.Depreciation to date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65,585.00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56,577.15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48,837.49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42,184.08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36,461.47</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37. NET BLOCK (35-36)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4,26,975.00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3,70,397.85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3,21,560.36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2,79,376.28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2,42,914.81</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OTHER NON-CURRENT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38. Investments/book debts/advances/deposits which are not Current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Investments made in subsidiary companies/affiliates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Others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 Advances to suppliers of capital goods and contractors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 Deferred receivables (incl.inst due beyond one yr)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(e) Debtors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(f) Security Deposit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Sub-Total Investments etc.</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39.Non-consumable stores and spares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40.Other non-current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41. TOTAL OTHER NON-CURRENT ASSETS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 Intangible assets(patents, goodwill, prelim. expenses, bad/doubtful exp.not provided for, etc.)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43. TOTAL ASSETS [34+37+41+42]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18,82,430.00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25,26,684.76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28,28,922.57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31,77,404.77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35,85,294.15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44. TANGIBLE NET WORTH [25-42]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14,70,800.00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16,89,364.28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20,89,412.89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25,40,339.95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30,56,707.96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45. NET WORKING CAPITAL [(17+25)-(37+41+42)]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13,02,765.00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18,92,637.07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22,16,122.06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25,76,299.23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29,86,956.35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46. Current Ratio [34/10]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9.53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9.01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9.40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47. Total Outside Liabilities/Tangible Net Worth [18/44]</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0.28</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0.50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0.35</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0.25</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0.17</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48. Total Term Liabilities/Tangible Net Worth [17/44]</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0.18</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0.34</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0.21</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0.12</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t xml:space="preserve">0.06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Difference [26-43]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bl>
    <w:p>
      <w:pPr>
        <w:spacing w:after="400"/>
      </w:pPr>
    </w:p>
    <w:p>
      <w:r>
        <w:br w:type="page"/>
      </w:r>
    </w:p>
    <w:p>
      <w:pPr>
        <w:pStyle w:val="sectionHeading"/>
        <w:spacing w:after="200"/>
        <w:jc w:val="center"/>
      </w:pPr>
      <w:r>
        <w:t xml:space="preserve">Depreciation Chart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5"/>
        <w:gridCol w:w="12"/>
        <w:gridCol w:w="10"/>
        <w:gridCol w:w="10"/>
        <w:gridCol w:w="10"/>
        <w:gridCol w:w="10"/>
        <w:gridCol w:w="13"/>
      </w:tblGrid>
      <w:tr>
        <w:trPr>
          <w:tblHeader/>
          <w:trHeight w:val="400" w:hRule="atLeast"/>
        </w:trPr>
        <w:tc>
          <w:tcPr>
            <w:tcW w:type="pct" w:w="35%"/>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Rate</w:t>
            </w:r>
          </w:p>
        </w:tc>
        <w:tc>
          <w:tcPr>
            <w:tcW w:type="pct" w:w="1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3%"/>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Land</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t xml:space="preserve">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c>
          <w:tcPr>
            <w:tcBorders>
              <w:top w:val="single" w:color="000000" w:sz="1"/>
              <w:left w:val="single" w:color="000000" w:sz="1"/>
              <w:bottom w:val="single" w:color="000000" w:sz="1"/>
              <w:right w:val="single" w:color="000000" w:sz="1"/>
            </w:tcBorders>
          </w:tcPr>
          <w:p>
            <w:pPr>
              <w:pStyle w:val="Default"/>
            </w:pPr>
            <w:r>
              <w:t xml:space="preserve">    Less Depreciation</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r>
      <w:tr>
        <w:tc>
          <w:tcPr>
            <w:tcBorders>
              <w:top w:val="single" w:color="000000" w:sz="1"/>
              <w:left w:val="single" w:color="000000" w:sz="1"/>
              <w:bottom w:val="single" w:color="000000" w:sz="1"/>
              <w:right w:val="single" w:color="000000" w:sz="1"/>
            </w:tcBorders>
          </w:tcPr>
          <w:p>
            <w:pPr>
              <w:pStyle w:val="Default"/>
            </w:pPr>
            <w:r>
              <w:rPr>
                <w:b/>
                <w:bCs/>
              </w:rPr>
              <w:t xml:space="preserve">    Written Down Value</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(&gt;=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(&lt;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During the Year</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Less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Written down value</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Building</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t xml:space="preserve">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c>
          <w:tcPr>
            <w:tcBorders>
              <w:top w:val="single" w:color="000000" w:sz="1"/>
              <w:left w:val="single" w:color="000000" w:sz="1"/>
              <w:bottom w:val="single" w:color="000000" w:sz="1"/>
              <w:right w:val="single" w:color="000000" w:sz="1"/>
            </w:tcBorders>
          </w:tcPr>
          <w:p>
            <w:pPr>
              <w:pStyle w:val="Default"/>
            </w:pPr>
            <w:r>
              <w:t xml:space="preserve">    Less Depreciation</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c>
          <w:tcPr>
            <w:tcBorders>
              <w:top w:val="single" w:color="000000" w:sz="1"/>
              <w:left w:val="single" w:color="000000" w:sz="1"/>
              <w:bottom w:val="single" w:color="000000" w:sz="1"/>
              <w:right w:val="single" w:color="000000" w:sz="1"/>
            </w:tcBorders>
          </w:tcPr>
          <w:p>
            <w:pPr>
              <w:pStyle w:val="Default"/>
              <w:jc w:val="right"/>
            </w:pPr>
            <w:r>
              <w:t xml:space="preserve">0.00</w:t>
            </w:r>
          </w:p>
        </w:tc>
      </w:tr>
      <w:tr>
        <w:tc>
          <w:tcPr>
            <w:tcBorders>
              <w:top w:val="single" w:color="000000" w:sz="1"/>
              <w:left w:val="single" w:color="000000" w:sz="1"/>
              <w:bottom w:val="single" w:color="000000" w:sz="1"/>
              <w:right w:val="single" w:color="000000" w:sz="1"/>
            </w:tcBorders>
          </w:tcPr>
          <w:p>
            <w:pPr>
              <w:pStyle w:val="Default"/>
            </w:pPr>
            <w:r>
              <w:rPr>
                <w:b/>
                <w:bCs/>
              </w:rPr>
              <w:t xml:space="preserve">    Written Down Value</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(&gt;=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(&lt;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During the Year</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Less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Written down value</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Furniture &amp; Fixtures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t xml:space="preserve">10%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1,65,980.00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1,49,382.00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1,34,443.80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1,20,999.42</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1,08,899.48</w:t>
            </w:r>
          </w:p>
        </w:tc>
      </w:tr>
      <w:tr>
        <w:tc>
          <w:tcPr>
            <w:tcBorders>
              <w:top w:val="single" w:color="000000" w:sz="1"/>
              <w:left w:val="single" w:color="000000" w:sz="1"/>
              <w:bottom w:val="single" w:color="000000" w:sz="1"/>
              <w:right w:val="single" w:color="000000" w:sz="1"/>
            </w:tcBorders>
          </w:tcPr>
          <w:p>
            <w:pPr>
              <w:pStyle w:val="Default"/>
            </w:pPr>
            <w:r>
              <w:t xml:space="preserve">    Less Depreciation</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t xml:space="preserve">16,598.00</w:t>
            </w:r>
          </w:p>
        </w:tc>
        <w:tc>
          <w:tcPr>
            <w:tcBorders>
              <w:top w:val="single" w:color="000000" w:sz="1"/>
              <w:left w:val="single" w:color="000000" w:sz="1"/>
              <w:bottom w:val="single" w:color="000000" w:sz="1"/>
              <w:right w:val="single" w:color="000000" w:sz="1"/>
            </w:tcBorders>
          </w:tcPr>
          <w:p>
            <w:pPr>
              <w:pStyle w:val="Default"/>
              <w:jc w:val="right"/>
            </w:pPr>
            <w:r>
              <w:t xml:space="preserve">14,938.20</w:t>
            </w:r>
          </w:p>
        </w:tc>
        <w:tc>
          <w:tcPr>
            <w:tcBorders>
              <w:top w:val="single" w:color="000000" w:sz="1"/>
              <w:left w:val="single" w:color="000000" w:sz="1"/>
              <w:bottom w:val="single" w:color="000000" w:sz="1"/>
              <w:right w:val="single" w:color="000000" w:sz="1"/>
            </w:tcBorders>
          </w:tcPr>
          <w:p>
            <w:pPr>
              <w:pStyle w:val="Default"/>
              <w:jc w:val="right"/>
            </w:pPr>
            <w:r>
              <w:t xml:space="preserve">13,444.38</w:t>
            </w:r>
          </w:p>
        </w:tc>
        <w:tc>
          <w:tcPr>
            <w:tcBorders>
              <w:top w:val="single" w:color="000000" w:sz="1"/>
              <w:left w:val="single" w:color="000000" w:sz="1"/>
              <w:bottom w:val="single" w:color="000000" w:sz="1"/>
              <w:right w:val="single" w:color="000000" w:sz="1"/>
            </w:tcBorders>
          </w:tcPr>
          <w:p>
            <w:pPr>
              <w:pStyle w:val="Default"/>
              <w:jc w:val="right"/>
            </w:pPr>
            <w:r>
              <w:t xml:space="preserve">12,099.94</w:t>
            </w:r>
          </w:p>
        </w:tc>
        <w:tc>
          <w:tcPr>
            <w:tcBorders>
              <w:top w:val="single" w:color="000000" w:sz="1"/>
              <w:left w:val="single" w:color="000000" w:sz="1"/>
              <w:bottom w:val="single" w:color="000000" w:sz="1"/>
              <w:right w:val="single" w:color="000000" w:sz="1"/>
            </w:tcBorders>
          </w:tcPr>
          <w:p>
            <w:pPr>
              <w:pStyle w:val="Default"/>
              <w:jc w:val="right"/>
            </w:pPr>
            <w:r>
              <w:t xml:space="preserve">10,889.95</w:t>
            </w:r>
          </w:p>
        </w:tc>
      </w:tr>
      <w:tr>
        <w:tc>
          <w:tcPr>
            <w:tcBorders>
              <w:top w:val="single" w:color="000000" w:sz="1"/>
              <w:left w:val="single" w:color="000000" w:sz="1"/>
              <w:bottom w:val="single" w:color="000000" w:sz="1"/>
              <w:right w:val="single" w:color="000000" w:sz="1"/>
            </w:tcBorders>
          </w:tcPr>
          <w:p>
            <w:pPr>
              <w:pStyle w:val="Default"/>
            </w:pPr>
            <w:r>
              <w:rPr>
                <w:b/>
                <w:bCs/>
              </w:rPr>
              <w:t xml:space="preserve">    Written Down Value</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rPr>
                <w:b/>
                <w:bCs/>
              </w:rPr>
              <w:t xml:space="preserve">1,49,382.00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1,34,443.80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1,20,999.42</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1,08,899.48</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98,009.53</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(&gt;=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(&lt;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During the Year</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1,65,980.00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1,49,382.00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1,34,443.80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1,20,999.42</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1,08,899.48</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Less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16,598.00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14,938.20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13,444.38</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12,099.94</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10,889.95</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Written down value</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1,49,382.00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1,34,443.80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1,20,999.42</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1,08,899.48</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98,009.53</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Plant &amp; Machinery</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t xml:space="preserve">15%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3,26,580.00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2,77,593.00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2,35,954.05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2,00,560.94</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1,70,476.80</w:t>
            </w:r>
          </w:p>
        </w:tc>
      </w:tr>
      <w:tr>
        <w:tc>
          <w:tcPr>
            <w:tcBorders>
              <w:top w:val="single" w:color="000000" w:sz="1"/>
              <w:left w:val="single" w:color="000000" w:sz="1"/>
              <w:bottom w:val="single" w:color="000000" w:sz="1"/>
              <w:right w:val="single" w:color="000000" w:sz="1"/>
            </w:tcBorders>
          </w:tcPr>
          <w:p>
            <w:pPr>
              <w:pStyle w:val="Default"/>
            </w:pPr>
            <w:r>
              <w:t xml:space="preserve">    Less Depreciation</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t xml:space="preserve">48,987.00</w:t>
            </w:r>
          </w:p>
        </w:tc>
        <w:tc>
          <w:tcPr>
            <w:tcBorders>
              <w:top w:val="single" w:color="000000" w:sz="1"/>
              <w:left w:val="single" w:color="000000" w:sz="1"/>
              <w:bottom w:val="single" w:color="000000" w:sz="1"/>
              <w:right w:val="single" w:color="000000" w:sz="1"/>
            </w:tcBorders>
          </w:tcPr>
          <w:p>
            <w:pPr>
              <w:pStyle w:val="Default"/>
              <w:jc w:val="right"/>
            </w:pPr>
            <w:r>
              <w:t xml:space="preserve">41,638.95</w:t>
            </w:r>
          </w:p>
        </w:tc>
        <w:tc>
          <w:tcPr>
            <w:tcBorders>
              <w:top w:val="single" w:color="000000" w:sz="1"/>
              <w:left w:val="single" w:color="000000" w:sz="1"/>
              <w:bottom w:val="single" w:color="000000" w:sz="1"/>
              <w:right w:val="single" w:color="000000" w:sz="1"/>
            </w:tcBorders>
          </w:tcPr>
          <w:p>
            <w:pPr>
              <w:pStyle w:val="Default"/>
              <w:jc w:val="right"/>
            </w:pPr>
            <w:r>
              <w:t xml:space="preserve">35,393.11</w:t>
            </w:r>
          </w:p>
        </w:tc>
        <w:tc>
          <w:tcPr>
            <w:tcBorders>
              <w:top w:val="single" w:color="000000" w:sz="1"/>
              <w:left w:val="single" w:color="000000" w:sz="1"/>
              <w:bottom w:val="single" w:color="000000" w:sz="1"/>
              <w:right w:val="single" w:color="000000" w:sz="1"/>
            </w:tcBorders>
          </w:tcPr>
          <w:p>
            <w:pPr>
              <w:pStyle w:val="Default"/>
              <w:jc w:val="right"/>
            </w:pPr>
            <w:r>
              <w:t xml:space="preserve">30,084.14</w:t>
            </w:r>
          </w:p>
        </w:tc>
        <w:tc>
          <w:tcPr>
            <w:tcBorders>
              <w:top w:val="single" w:color="000000" w:sz="1"/>
              <w:left w:val="single" w:color="000000" w:sz="1"/>
              <w:bottom w:val="single" w:color="000000" w:sz="1"/>
              <w:right w:val="single" w:color="000000" w:sz="1"/>
            </w:tcBorders>
          </w:tcPr>
          <w:p>
            <w:pPr>
              <w:pStyle w:val="Default"/>
              <w:jc w:val="right"/>
            </w:pPr>
            <w:r>
              <w:t xml:space="preserve">25,571.52</w:t>
            </w:r>
          </w:p>
        </w:tc>
      </w:tr>
      <w:tr>
        <w:tc>
          <w:tcPr>
            <w:tcBorders>
              <w:top w:val="single" w:color="000000" w:sz="1"/>
              <w:left w:val="single" w:color="000000" w:sz="1"/>
              <w:bottom w:val="single" w:color="000000" w:sz="1"/>
              <w:right w:val="single" w:color="000000" w:sz="1"/>
            </w:tcBorders>
          </w:tcPr>
          <w:p>
            <w:pPr>
              <w:pStyle w:val="Default"/>
            </w:pPr>
            <w:r>
              <w:rPr>
                <w:b/>
                <w:bCs/>
              </w:rPr>
              <w:t xml:space="preserve">    Written Down Value</w:t>
            </w:r>
          </w:p>
        </w:tc>
        <w:tc>
          <w:tcPr>
            <w:tcBorders>
              <w:top w:val="single" w:color="000000" w:sz="1"/>
              <w:left w:val="single" w:color="000000" w:sz="1"/>
              <w:bottom w:val="single" w:color="000000" w:sz="1"/>
              <w:right w:val="single" w:color="000000" w:sz="1"/>
            </w:tcBorders>
          </w:tcPr>
          <w:p>
            <w:r>
              <w:t xml:space="preserve"/>
            </w:r>
          </w:p>
        </w:tc>
        <w:tc>
          <w:tcPr>
            <w:tcBorders>
              <w:top w:val="single" w:color="000000" w:sz="1"/>
              <w:left w:val="single" w:color="000000" w:sz="1"/>
              <w:bottom w:val="single" w:color="000000" w:sz="1"/>
              <w:right w:val="single" w:color="000000" w:sz="1"/>
            </w:tcBorders>
          </w:tcPr>
          <w:p>
            <w:pPr>
              <w:pStyle w:val="Default"/>
              <w:jc w:val="right"/>
            </w:pPr>
            <w:r>
              <w:rPr>
                <w:b/>
                <w:bCs/>
              </w:rPr>
              <w:t xml:space="preserve">2,77,593.00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2,35,954.05</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2,00,560.94</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1,70,476.80</w:t>
            </w:r>
          </w:p>
        </w:tc>
        <w:tc>
          <w:tcPr>
            <w:tcBorders>
              <w:top w:val="single" w:color="000000" w:sz="1"/>
              <w:left w:val="single" w:color="000000" w:sz="1"/>
              <w:bottom w:val="single" w:color="000000" w:sz="1"/>
              <w:right w:val="single" w:color="000000" w:sz="1"/>
            </w:tcBorders>
          </w:tcPr>
          <w:p>
            <w:pPr>
              <w:pStyle w:val="Default"/>
              <w:jc w:val="right"/>
            </w:pPr>
            <w:r>
              <w:rPr>
                <w:b/>
                <w:bCs/>
              </w:rPr>
              <w:t xml:space="preserve">1,44,905.28</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(&gt;=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During the Year (&lt; 180 days)</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During the Year</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3,26,580.00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2,77,593.00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2,35,954.05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2,00,560.94</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1,70,476.80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Less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48,987.00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41,638.95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35,393.11</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30,084.14</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25,571.52</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Written down value</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2,77,593.00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2,35,954.05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2,00,560.94</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1,70,476.80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1,44,905.28</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Opening</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4,92,560.00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4,26,975.00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3,70,397.85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3,21,560.36</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2,79,376.28</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During the Year</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less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65,585.00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56,577.15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48,837.49</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42,184.08</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36,461.47</w:t>
            </w:r>
          </w:p>
        </w:tc>
      </w:tr>
      <w:tr>
        <w:trPr>
          <w:trHeight w:val="300" w:hRule="atLeast"/>
        </w:trPr>
        <w:tc>
          <w:tcPr>
            <w:tcW w:type="pct" w:w="3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written down value</w:t>
            </w:r>
          </w:p>
        </w:tc>
        <w:tc>
          <w:tcPr>
            <w:tcW w:type="pct" w:w="12%"/>
            <w:tcBorders>
              <w:top w:val="single" w:color="000000" w:sz="1"/>
              <w:left w:val="single" w:color="000000" w:sz="1"/>
              <w:bottom w:val="single" w:color="000000" w:sz="1"/>
              <w:right w:val="single" w:color="000000" w:sz="1"/>
            </w:tcBorders>
            <w:vAlign w:val="center"/>
          </w:tcPr>
          <w:p>
            <w:pPr>
              <w:pStyle w:val="Default"/>
              <w:jc w:val="center"/>
            </w:pPr>
            <w:r>
              <w:rPr>
                <w:b w:val="false"/>
                <w:bCs w:val="false"/>
                <w:color w:val="000000"/>
              </w:rPr>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4,26,975.00</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3,70,397.85</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3,21,560.36</w:t>
            </w:r>
          </w:p>
        </w:tc>
        <w:tc>
          <w:tcPr>
            <w:tcW w:type="pct" w:w="1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2,79,376.28</w:t>
            </w:r>
          </w:p>
        </w:tc>
        <w:tc>
          <w:tcPr>
            <w:tcW w:type="pct" w:w="13%"/>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2,42,914.81</w:t>
            </w:r>
          </w:p>
        </w:tc>
      </w:tr>
    </w:tbl>
    <w:p>
      <w:pPr>
        <w:spacing w:after="400"/>
      </w:pPr>
    </w:p>
    <w:p>
      <w:r>
        <w:br w:type="page"/>
      </w:r>
    </w:p>
    <w:p>
      <w:pPr>
        <w:pStyle w:val="sectionHeading"/>
        <w:spacing w:after="200"/>
        <w:jc w:val="center"/>
      </w:pPr>
      <w:r>
        <w:t xml:space="preserve">Comparative Statement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A. CURRENT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 Raw Materials( including stores and other used in the process of mfg)</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Imported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Indigenous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2. Other Consumables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Imported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Indigenous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3. Packing Material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Imported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Indigenous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4. Stocks-in-process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5. Finished goods: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2,65,480.00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3,07,133.81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3,70,096.24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4,07,105.86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4,47,816.45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6. Receivables other than export and deferred receivables(Including bill purchased and discounted by banks)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1,72,505.00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7,47,546.26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9,31,288.09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11,62,189.43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14,10,961.97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7. Export receivables(include bill purchased and discount)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Amount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8. Advances to Supplier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4,26,580.00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4,69,238.00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5,16,161.80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5,67,777.98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6,24,555.78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9. Other Current Assets (specify major Items)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Cash and Bank Balance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2,65,890.00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3,07,368.84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3,64,816.08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4,35,955.22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5,34,045.14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Investment except long term</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Installment of Deferred receivables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Advance Payment of Taxes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Other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10. TOTAL CURRENT ASSETS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14,55,455.00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21,56,286.91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25,07,362.21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28,98,028.49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33,42,379.34</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B. CURRENT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(Other than bank borrowings for WC)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11. Creditors for purchase of raw materials, stores and consumable spares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1,52,690.00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1,76,509.64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1,94,160.60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2,13,576.66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2,34,934.33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12. Advance from Customers/ SD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13. Statutory liabilities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14. Other Current liabilities-specify major items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87,140.20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97,079.55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1,08,152.60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1,20,488.66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S.T. borrowings others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Dividend Payable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 Installment of TL,DGP and Public Deposits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87,140.20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97,079.55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1,08,152.60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1,20,488.66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 Other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Other current liabilities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15. TOTAL CURRENT LIABILITIES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1,52,690.00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2,63,649.84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2,91,240.15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3,21,729.26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3,55,422.99</w:t>
            </w:r>
          </w:p>
        </w:tc>
      </w:tr>
    </w:tbl>
    <w:p>
      <w:pPr>
        <w:spacing w:after="400"/>
      </w:pPr>
    </w:p>
    <w:p>
      <w:r>
        <w:br w:type="page"/>
      </w:r>
    </w:p>
    <w:p>
      <w:pPr>
        <w:pStyle w:val="sectionHeading"/>
        <w:spacing w:after="200"/>
        <w:jc w:val="center"/>
      </w:pPr>
      <w:r>
        <w:t xml:space="preserve">Ratio Analysis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GROSS PROFIT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19.91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22.02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21.66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21.34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21.20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NET PROFIT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14.22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15.57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15.74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16.04</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STOCK</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Stock</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2,65,480.00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3,07,133.81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3,70,096.24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4,07,105.86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4,47,816.45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Add: Debtors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1,72,505.00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7,47,546.26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9,31,288.09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11,62,189.43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14,10,961.97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Less: Creditors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1,52,690.00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1,76,509.64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1,94,160.60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2,13,576.66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2,34,934.33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NET PAID STOCK</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2,85,295.00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8,78,170.43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11,07,223.73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13,55,718.63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16,23,844.09</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  Margin</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DP</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2,85,295.00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8,78,170.43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11,07,223.73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13,55,718.63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16,23,844.09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Bank Loan</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Export Debtors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  Margin</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DP</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 DP</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2,85,295.00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8,78,170.43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11,07,223.73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13,55,718.63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16,23,844.09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CURRENT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9.53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9.01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9.40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MPBF</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 of Liabilities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18,82,430.00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25,26,684.76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28,28,922.57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31,77,404.77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35,85,294.15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 of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18,82,430.00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25,26,684.76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28,28,922.57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31,77,404.77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35,85,294.15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Difference in B/S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TOL/TNW</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0.50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0.35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0.25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0.17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TTL/TNW</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0.34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0.21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0.12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0.06</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KEY RATIO</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Growth in Net Sales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N/A</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Growth in Net Profit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N/A</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18.79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33.88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11.21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12.04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Growth in Net Worth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N/A</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14.86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23.68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21.58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20.33</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LIQUIDITY RATIO</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Current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9.53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9.01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9.40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Quick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7.79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7.01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7.34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7.74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8.14</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EFFICIENCY RATIO</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Stock TurnOver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15.98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16.97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16.27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16.27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Assets TurnOver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Fixed Assets TurnOver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9.27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12.35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17.87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22.63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28.63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Current Assets TurnOver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Working Capital TurnOver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Capital TurnOver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2.28</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PROFITABILITY RATIO</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Expenses Ratio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Manufacturing Expenses Ratio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Indirect Expenses Ratio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Finance Expenses Ratio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Non Operating Expenses Ratio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Profit Ratio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14.22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15.57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15.74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16.04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Return on Capital Employed (%)</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38.26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36.49</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SOLVENCY RATIO</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Debt-Equity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0.34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0.21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0.12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Interest coverage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10.64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12.80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15.99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DSCR (Debt Service Coverage Ratio)</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18.03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7.74</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ADDITIONAL INFORMATION</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Tangible Net Worth</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14,70,800.00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16,89,364.28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20,89,412.89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25,40,339.95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30,56,707.96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Long Term Liabilities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2,58,940.00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5,73,670.64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4,48,269.53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3,15,335.56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1,73,163.20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Block of Fixed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4,26,975.00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3,70,397.85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3,21,560.36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2,79,376.28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2,42,914.81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Non 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Working Capital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13,02,765.00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18,92,637.07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22,16,122.06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25,76,299.23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29,86,956.35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Other Income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Sales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39,58,600.00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45,76,141.60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Profit After Tax</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Cash Accruals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2,65,890.00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3,07,368.84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3,64,816.08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4,35,955.22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5,34,045.14</w:t>
            </w:r>
          </w:p>
        </w:tc>
      </w:tr>
    </w:tbl>
    <w:p>
      <w:pPr>
        <w:spacing w:after="400"/>
      </w:pPr>
    </w:p>
    <w:p>
      <w:r>
        <w:br w:type="page"/>
      </w:r>
    </w:p>
    <w:p>
      <w:pPr>
        <w:pStyle w:val="sectionHeading"/>
        <w:spacing w:after="200"/>
        <w:jc w:val="center"/>
      </w:pPr>
      <w:r>
        <w:t xml:space="preserve">Graphical Analysis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0"/>
        <w:gridCol w:w="50"/>
      </w:tblGrid>
      <w:tr>
        <w:tc>
          <w:tcPr>
            <w:tcBorders>
              <w:top w:val="none"/>
              <w:left w:val="none"/>
              <w:bottom w:val="none"/>
              <w:right w:val="none"/>
            </w:tcBorders>
          </w:tcPr>
          <w:p>
            <w:pPr>
              <w:pStyle w:val="Default"/>
              <w:spacing w:after="100"/>
              <w:jc w:val="center"/>
            </w:pPr>
            <w:r>
              <w:t xml:space="preserve">Sales And Profitability</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3333750" cy="1666875"/>
                          </a:xfrm>
                          <a:prstGeom prst="rect">
                            <a:avLst/>
                          </a:prstGeom>
                        </pic:spPr>
                      </pic:pic>
                    </a:graphicData>
                  </a:graphic>
                </wp:inline>
              </w:drawing>
            </w:r>
          </w:p>
        </w:tc>
        <w:tc>
          <w:tcPr>
            <w:tcBorders>
              <w:top w:val="none"/>
              <w:left w:val="none"/>
              <w:bottom w:val="none"/>
              <w:right w:val="none"/>
            </w:tcBorders>
          </w:tcPr>
          <w:p>
            <w:pPr>
              <w:pStyle w:val="Default"/>
              <w:spacing w:after="100"/>
              <w:jc w:val="center"/>
            </w:pPr>
            <w:r>
              <w:t xml:space="preserve">Balance Sheet Strength</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3333750" cy="1666875"/>
                          </a:xfrm>
                          <a:prstGeom prst="rect">
                            <a:avLst/>
                          </a:prstGeom>
                        </pic:spPr>
                      </pic:pic>
                    </a:graphicData>
                  </a:graphic>
                </wp:inline>
              </w:drawing>
            </w:r>
          </w:p>
        </w:tc>
      </w:tr>
      <w:tr>
        <w:tc>
          <w:tcPr>
            <w:tcBorders>
              <w:top w:val="none"/>
              <w:left w:val="none"/>
              <w:bottom w:val="none"/>
              <w:right w:val="none"/>
            </w:tcBorders>
          </w:tcPr>
          <w:p>
            <w:pPr>
              <w:pStyle w:val="Default"/>
              <w:spacing w:after="100"/>
              <w:jc w:val="center"/>
            </w:pPr>
            <w:r>
              <w:t xml:space="preserve">Liquidity Ratios</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3333750" cy="1666875"/>
                          </a:xfrm>
                          <a:prstGeom prst="rect">
                            <a:avLst/>
                          </a:prstGeom>
                        </pic:spPr>
                      </pic:pic>
                    </a:graphicData>
                  </a:graphic>
                </wp:inline>
              </w:drawing>
            </w:r>
          </w:p>
        </w:tc>
        <w:tc>
          <w:tcPr>
            <w:tcBorders>
              <w:top w:val="none"/>
              <w:left w:val="none"/>
              <w:bottom w:val="none"/>
              <w:right w:val="none"/>
            </w:tcBorders>
          </w:tcPr>
          <w:p>
            <w:pPr>
              <w:pStyle w:val="Default"/>
              <w:spacing w:after="100"/>
              <w:jc w:val="center"/>
            </w:pPr>
            <w:r>
              <w:t xml:space="preserve">Profitability Ratios</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3333750" cy="1666875"/>
                          </a:xfrm>
                          <a:prstGeom prst="rect">
                            <a:avLst/>
                          </a:prstGeom>
                        </pic:spPr>
                      </pic:pic>
                    </a:graphicData>
                  </a:graphic>
                </wp:inline>
              </w:drawing>
            </w:r>
          </w:p>
        </w:tc>
      </w:tr>
      <w:tr>
        <w:tc>
          <w:tcPr>
            <w:tcBorders>
              <w:top w:val="none"/>
              <w:left w:val="none"/>
              <w:bottom w:val="none"/>
              <w:right w:val="none"/>
            </w:tcBorders>
          </w:tcPr>
          <w:p>
            <w:pPr>
              <w:pStyle w:val="Default"/>
              <w:spacing w:after="100"/>
              <w:jc w:val="center"/>
            </w:pPr>
            <w:r>
              <w:t xml:space="preserve">Leverage Ratios</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3333750" cy="1666875"/>
                          </a:xfrm>
                          <a:prstGeom prst="rect">
                            <a:avLst/>
                          </a:prstGeom>
                        </pic:spPr>
                      </pic:pic>
                    </a:graphicData>
                  </a:graphic>
                </wp:inline>
              </w:drawing>
            </w:r>
          </w:p>
        </w:tc>
        <w:tc>
          <w:tcPr>
            <w:tcBorders>
              <w:top w:val="none"/>
              <w:left w:val="none"/>
              <w:bottom w:val="none"/>
              <w:right w:val="none"/>
            </w:tcBorders>
          </w:tcPr>
          <w:p>
            <w:pPr>
              <w:pStyle w:val="Default"/>
              <w:spacing w:after="100"/>
              <w:jc w:val="center"/>
            </w:pPr>
            <w:r>
              <w:t xml:space="preserve">Working Capital Turnover</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333750" cy="1666875"/>
                          </a:xfrm>
                          <a:prstGeom prst="rect">
                            <a:avLst/>
                          </a:prstGeom>
                        </pic:spPr>
                      </pic:pic>
                    </a:graphicData>
                  </a:graphic>
                </wp:inline>
              </w:drawing>
            </w:r>
          </w:p>
        </w:tc>
      </w:tr>
      <w:tr>
        <w:tc>
          <w:tcPr>
            <w:tcBorders>
              <w:top w:val="none"/>
              <w:left w:val="none"/>
              <w:bottom w:val="none"/>
              <w:right w:val="none"/>
            </w:tcBorders>
          </w:tcPr>
          <w:p>
            <w:pPr>
              <w:pStyle w:val="Default"/>
              <w:spacing w:after="100"/>
              <w:jc w:val="center"/>
            </w:pPr>
            <w:r>
              <w:t xml:space="preserve">Solvency Ratios</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333750" cy="1666875"/>
                          </a:xfrm>
                          <a:prstGeom prst="rect">
                            <a:avLst/>
                          </a:prstGeom>
                        </pic:spPr>
                      </pic:pic>
                    </a:graphicData>
                  </a:graphic>
                </wp:inline>
              </w:drawing>
            </w:r>
          </w:p>
        </w:tc>
        <w:tc>
          <w:tcPr>
            <w:tcBorders>
              <w:top w:val="none"/>
              <w:left w:val="none"/>
              <w:bottom w:val="none"/>
              <w:right w:val="none"/>
            </w:tcBorders>
          </w:tcPr>
          <w:p>
            <w:pPr>
              <w:pStyle w:val="Default"/>
              <w:spacing w:after="100"/>
              <w:jc w:val="center"/>
            </w:pPr>
            <w:r>
              <w:t xml:space="preserve">Efficiency Ratios</w:t>
            </w:r>
          </w:p>
          <w:p>
            <w:pPr>
              <w:jc w:val="center"/>
            </w:pPr>
            <w:r>
              <w:drawing>
                <wp:inline distT="0" distB="0" distL="0" distR="0">
                  <wp:extent cx="3333750" cy="1666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33750" cy="1666875"/>
                          </a:xfrm>
                          <a:prstGeom prst="rect">
                            <a:avLst/>
                          </a:prstGeom>
                        </pic:spPr>
                      </pic:pic>
                    </a:graphicData>
                  </a:graphic>
                </wp:inline>
              </w:drawing>
            </w:r>
          </w:p>
        </w:tc>
      </w:tr>
    </w:tbl>
    <w:p>
      <w:r>
        <w:br w:type="page"/>
      </w:r>
    </w:p>
    <w:p>
      <w:pPr>
        <w:pStyle w:val="sectionHeading"/>
        <w:spacing w:after="200"/>
        <w:jc w:val="center"/>
      </w:pPr>
      <w:r>
        <w:t xml:space="preserve">Turnover Method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A. Turnover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39,58,600.00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45,76,141.60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B. 25.00% of (A)</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9,89,650.00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11,44,035.40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14,36,908.46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15,80,599.31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17,38,659.24</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C. Margin Required at 5.00% of (A)</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1,97,930.00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2,28,807.08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2,87,381.69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3,16,119.86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3,47,731.85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 Margin (NWC)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13,02,765.00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18,92,637.07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22,16,122.06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25,76,299.23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29,86,956.35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E. (B - 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7,91,720.00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9,15,228.32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11,49,526.77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12,64,479.45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13,90,927.39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F. (B - 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-3,13,115.00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-7,48,601.67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-7,79,213.60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-9,95,699.92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-12,48,297.11</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G. MPBF ( E or F whichever is lower)</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-3,13,115.00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-7,48,601.67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-7,79,213.60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-9,95,699.92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-12,48,297.11</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H. Excess borrowing</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bl>
    <w:p>
      <w:pPr>
        <w:spacing w:after="400"/>
      </w:pPr>
    </w:p>
    <w:p>
      <w:r>
        <w:br w:type="page"/>
      </w:r>
    </w:p>
    <w:p>
      <w:pPr>
        <w:pStyle w:val="sectionHeading"/>
        <w:spacing w:after="200"/>
        <w:jc w:val="center"/>
      </w:pPr>
      <w:r>
        <w:t xml:space="preserve">MPBF</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FIRST METHOD OF LENDING</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 Total 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14,55,455.00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21,56,286.91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25,07,362.21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28,98,028.49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33,42,379.34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2. Other Current Liabilities (Other than Bank Borrowing)</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1,52,690.00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2,63,649.84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2,91,240.15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3,21,729.26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3,55,422.99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3. Working Capital Gap</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13,02,765.00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18,92,637.07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22,16,122.06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25,76,299.23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29,86,956.35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 Min stipulated Net working capital (25% of WCG excluding export receivables)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3,25,691.25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4,73,159.27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5,54,030.52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6,44,074.81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7,46,739.09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 Actual / Projected Net Working Capital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13,02,765.00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18,92,637.07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22,16,122.06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25,76,299.23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29,86,956.35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 Item 3 minus item 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9,77,073.75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14,19,477.80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16,62,091.54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19,32,224.42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22,40,217.26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 Item 3 minus item 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8. Maximum Permissible Bank Finance (lower of 6 or 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 Excess Borrowing Representing shortfall in NWC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SECOND METHOD OF LENDING</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 Total 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14,55,455.00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21,56,286.91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25,07,362.21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28,98,028.49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33,42,379.34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2. Other Current Liabilities (Other than Bank Borrowing)</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1,52,690.00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2,63,649.84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2,91,240.15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3,21,729.26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3,55,422.99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3. Working Capital Gap</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13,02,765.00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18,92,637.07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22,16,122.06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25,76,299.23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29,86,956.35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 Min stipulated Net working capital (25% of Total of Current Assets excluding export receivables)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3,63,863.75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5,39,071.73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6,26,840.55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7,24,507.12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8,35,594.83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 Actual / Projected Net Working Capital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13,02,765.00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18,92,637.07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22,16,122.06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25,76,299.23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29,86,956.35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 Item 3 minus item 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9,38,901.25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13,53,565.34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15,89,281.51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18,51,792.11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21,51,361.51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 Item 3 minus item 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8. Maximum Permissible Bank Finance (lower of 6 or 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 Excess Borrowing Representing shortfall in NWC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bl>
    <w:p>
      <w:pPr>
        <w:spacing w:after="400"/>
      </w:pPr>
    </w:p>
    <w:p>
      <w:r>
        <w:br w:type="page"/>
      </w:r>
    </w:p>
    <w:p>
      <w:pPr>
        <w:pStyle w:val="sectionHeading"/>
        <w:spacing w:after="200"/>
        <w:jc w:val="center"/>
      </w:pPr>
      <w:r>
        <w:t xml:space="preserve">Fund Flow Statement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5"/>
        <w:gridCol w:w="15"/>
        <w:gridCol w:w="15"/>
        <w:gridCol w:w="15"/>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1. SOURCES</w:t>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Net Profit</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Depreciation</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56,577.15</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48,837.49</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42,184.08</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36,461.47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 Increase in Capital</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2,18,564.28</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4,00,048.61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4,50,927.06</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5,16,368.01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 Increase in term liabilities, including public deposit</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3,14,730.64</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(e) Decrease in Other Non Current Assets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(f) Other (income tax w/o)</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(g) Share application refund</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  (h) Total</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12,58,436.35</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13,43,934.71</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14,88,538.20</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16,68,147.49</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2. USE</w:t>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5%"/>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 Purchase of Fixed Assets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 Net loss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 Decrease in capital</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 Decrease in term liabilities, including public deposits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1,25,401.11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1,32,933.97</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1,42,172.36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(e) Increase in Other non-current Assets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(f) Dividend</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(g) Others (share application)</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(h) Decrease in general reserve (net Deferred tax)</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  (i) Total</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1,25,401.11</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1,32,933.97</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1,42,172.36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3. LONG TERM SURPLUS/DEFICIT</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12,58,436.35</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12,18,533.60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13,55,604.23</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15,25,975.13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 Increase / Decrease in Current Assets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7,00,831.91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3,51,075.30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3,90,666.28</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4,44,350.85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 Increase / Decrease in Current Liabilities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1,10,959.84</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27,590.31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30,489.11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33,693.73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6. Increase / Decrease in Working Capital gap</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5,89,872.07</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3,23,484.99</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3,60,177.17</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4,10,657.12</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7. Net Surplus / Deficit</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 Increase / Decrease in Bank Borrowings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INCREASE / DECREASE IN NET SALES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6,17,541.60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11,71,492.25</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5,74,763.39</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*Break-Up of (4)</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 Increase / Decrease in Raw Material</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(ii) Increase / Decrease in Stock in Process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(iii) Increase / Decrease in Finished Goods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41,653.81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62,962.43</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37,009.62</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40,710.59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(iv) Increase / Decrease in receivables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(a) Domestic</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5,75,041.26</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1,83,741.83</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2,30,901.34</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2,48,772.54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(b) Export</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(v) Increase / Decrease in consumables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(a) Imported</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(b) Indigenous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(vi) Increase / Decrease in packing Material</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(vii) Increase / Decrease in other current assets</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7,00,831.91</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3,51,075.30</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3,90,666.28</w:t>
            </w:r>
          </w:p>
        </w:tc>
        <w:tc>
          <w:tcPr>
            <w:tcW w:type="pct" w:w="15%"/>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4,44,350.85</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13,17,526.98</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5,97,779.56</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6,58,577.24</w:t>
            </w:r>
          </w:p>
        </w:tc>
        <w:tc>
          <w:tcPr>
            <w:tcW w:type="pct" w:w="15%"/>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7,33,833.98</w:t>
            </w:r>
          </w:p>
        </w:tc>
      </w:tr>
    </w:tbl>
    <w:p>
      <w:pPr>
        <w:spacing w:after="400"/>
      </w:pPr>
    </w:p>
    <w:p>
      <w:r>
        <w:br w:type="page"/>
      </w:r>
    </w:p>
    <w:p>
      <w:pPr>
        <w:pStyle w:val="sectionHeading"/>
        <w:spacing w:after="200"/>
        <w:jc w:val="center"/>
      </w:pPr>
      <w:r>
        <w:t xml:space="preserve">Cash Flow</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A. Cash Flow from Operating Activities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Profit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Adjustments for non-cash items: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Add: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65,585.00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56,577.15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48,837.49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42,184.08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36,461.47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Changes in Working Capital: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Change in Inventory</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-41,653.81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-62,962.43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-37,009.62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-40,710.59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Change in Receivables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-5,75,041.26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-1,83,741.83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-2,30,901.34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-2,48,772.54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Change in Other 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Change in Creditors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23,819.64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17,650.96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19,416.06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21,357.67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Change in Short-Term Borrowings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Net Cash from Operating Activities (A)</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6,28,385.00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1,32,266.00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7,14,832.80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7,89,116.24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8,83,654.02</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B. Cash Flow from Investing Activities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Purchase of Fixed Assets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Net Cash from Investing Activities (B)</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 Cash Flow from Financing Activities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Change in WC Bank Borrowing</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Change in Term Loan / Other Term Liabilities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4,01,870.84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-1,15,461.76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-1,21,860.92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-1,29,836.30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Drawings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-3,50,000.00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-4,50,000.00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-4,95,000.00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-5,44,500.00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-5,98,950.00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Net Cash from Financing Activities (C)</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-3,50,000.00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-48,129.16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-6,10,461.76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-6,66,360.92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-7,28,786.30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Net Increase in Cash &amp; Bank (A+B+C)</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2,78,385.00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84,136.84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1,04,371.04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1,22,755.32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1,54,867.72</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Add: Opening Cash &amp; Bank Balance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2,65,890.00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3,07,368.84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3,64,816.08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4,35,955.22</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Closing Cash &amp; Bank Balance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2,65,890.00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3,07,368.84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3,64,816.08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4,35,955.22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5,34,045.14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Balance Check (Discrepancy)</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12,495.00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42,658.00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46,923.80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51,616.18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56,777.80</w:t>
            </w:r>
          </w:p>
        </w:tc>
      </w:tr>
    </w:tbl>
    <w:p>
      <w:pPr>
        <w:spacing w:after="400"/>
      </w:pPr>
    </w:p>
    <w:p>
      <w:r>
        <w:br w:type="page"/>
      </w:r>
    </w:p>
    <w:p>
      <w:pPr>
        <w:pStyle w:val="sectionHeading"/>
        <w:spacing w:after="200"/>
        <w:jc w:val="center"/>
      </w:pPr>
      <w:r>
        <w:t xml:space="preserve">DSCR Analysis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A. CASH ACCRUALS (Source)</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Profit After Tax</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8,95,049.00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Add: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65,585.00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56,577.00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48,837.00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42,184.00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36,461.00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Add: Interest on Long Term Loans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42,577.00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42,866.00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32,927.00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21,854.00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(A)</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6,28,385.00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7,67,718.00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9,86,752.00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10,70,538.00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11,73,633.00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B. DEBT OBLIGATIONS (Uses)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Interest on Long Term Loans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42,577.00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42,866.00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32,927.00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21,854.00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Repayment of Long Term Loans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87,140.00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97,080.00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1,08,153.00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(B)</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42,577.00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1,30,006.00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1,30,006.00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1,30,006.00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DSCR (A / B)</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18.03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7.59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9.03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Average DSCR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10.72</w:t>
            </w:r>
          </w:p>
        </w:tc>
      </w:tr>
    </w:tbl>
    <w:p>
      <w:pPr>
        <w:spacing w:after="400"/>
      </w:pPr>
    </w:p>
    <w:p>
      <w:r>
        <w:br w:type="page"/>
      </w:r>
    </w:p>
    <w:p>
      <w:pPr>
        <w:pStyle w:val="sectionHeading"/>
        <w:spacing w:after="200"/>
        <w:jc w:val="center"/>
      </w:pPr>
      <w:r>
        <w:t xml:space="preserve">Breakeven Analysis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1. Net Sales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39,58,600.00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45,76,141.60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2. Variable Costs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 Raw Materials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 Other Consumables &amp; Packing</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28,20,095.00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35,44,577.41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44,86,726.09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49,15,657.10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54,07,222.81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(iii) Power and Fuel</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(iv) Direct Labour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(v) Variable Mfg &amp; Selling Expenses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28,410.00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32,841.96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39,410.35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47,292.42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56,750.90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   Total Variable Costs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28,48,505.00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35,77,419.37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45,26,136.44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49,62,949.52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54,63,973.71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3. Contribution (1 - 2)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11,10,095.00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9,98,722.23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12,21,497.41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13,59,447.72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14,90,663.25</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4. Fixed Costs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 Admin &amp; Fixed Selling Exp</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1,88,230.00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2,17,657.81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2,42,707.79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2,70,919.60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3,02,740.80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(ii)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65,585.00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56,577.15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48,837.49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42,184.08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36,461.47</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   Total Fixed Costs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2,53,815.00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2,74,234.96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2,91,545.28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3,13,103.68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val="false"/>
                <w:bCs w:val="false"/>
                <w:color w:val="FFFFFF"/>
              </w:rPr>
              <w:t xml:space="preserve">3,39,202.28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5. Breakeven Point (Sales Value)</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9,05,104.57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12,56,543.58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13,71,837.15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14,56,154.45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15,82,536.29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6. Breakeven % (on Net Sales)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22.86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27.46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23.87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23.03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22.76</w:t>
            </w:r>
          </w:p>
        </w:tc>
      </w:tr>
    </w:tbl>
    <w:p>
      <w:pPr>
        <w:spacing w:after="400"/>
      </w:pPr>
    </w:p>
    <w:p>
      <w:r>
        <w:br w:type="page"/>
      </w:r>
    </w:p>
    <w:p>
      <w:pPr>
        <w:pStyle w:val="sectionHeading"/>
        <w:spacing w:after="200"/>
        <w:jc w:val="center"/>
      </w:pPr>
      <w:r>
        <w:t xml:space="preserve">Sensitivity Analysis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2024-2025</w:t>
            </w:r>
          </w:p>
          <w:p>
            <w:pPr>
              <w:pStyle w:val="TableHeaderStyle"/>
              <w:jc w:val="center"/>
            </w:pPr>
            <w:r>
              <w:rPr>
                <w:b/>
                <w:bCs/>
                <w:color w:val="FFFFFF"/>
              </w:rPr>
              <w:t xml:space="preserve">(audited)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2025-2026</w:t>
            </w:r>
          </w:p>
          <w:p>
            <w:pPr>
              <w:pStyle w:val="TableHeaderStyle"/>
              <w:jc w:val="center"/>
            </w:pPr>
            <w:r>
              <w:rPr>
                <w:b/>
                <w:bCs/>
                <w:color w:val="FFFFFF"/>
              </w:rPr>
              <w:t xml:space="preserve">(provisional)</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1. BASE CASE (PROJECTIONS)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Sales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39,58,600.00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45,76,141.60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Profit After Tax</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DSCR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18.03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7.59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9.03</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2. SALES DECREASE BY 10%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Revised Net Sales</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35,62,740.00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41,18,527.44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51,72,870.46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56,90,157.52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62,59,173.26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Revised Net Profit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4,48,949.50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5,65,407.86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7,68,957.83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8,54,753.05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9,60,576.59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Revised DSCR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7.15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7.84</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3. RAW MATERIAL/CONSUMABLE COST INCREASE BY 10%</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Sales (Unchanged)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39,58,600.00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45,76,141.60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Revised Net Profit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6,68,564.28</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8,95,048.61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9,95,427.06</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11,15,318.01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Revised DSCR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18.03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7.59</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8.23</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9.03</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4. INTEREST RATE INCREASE BY 2%</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Net Sales (Unchanged)</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39,58,600.00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45,76,141.60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57,47,633.85</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63,22,397.24</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69,54,636.96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Revised Net Profit</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5,62,800.00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6,51,595.67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8,78,029.72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9,80,136.62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11,01,953.18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Revised DSCR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15.17</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7.11</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7.82</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8.70</w:t>
            </w:r>
          </w:p>
        </w:tc>
      </w:tr>
    </w:tbl>
    <w:p>
      <w:pPr>
        <w:spacing w:after="400"/>
      </w:pPr>
    </w:p>
    <w:p>
      <w:r>
        <w:br w:type="page"/>
      </w:r>
    </w:p>
    <w:p>
      <w:pPr>
        <w:pStyle w:val="sectionHeading"/>
        <w:spacing w:after="200"/>
        <w:jc w:val="center"/>
      </w:pPr>
      <w:r>
        <w:t xml:space="preserve">EMI Repayment Schedule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gridCol w:w="100"/>
        <w:gridCol w:w="100"/>
      </w:tblGrid>
      <w:tr>
        <w:trPr>
          <w:tblHeader/>
          <w:trHeight w:val="400" w:hRule="atLeast"/>
        </w:trPr>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Month</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Payment Date</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Opening Bal.</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EMI</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Principal</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Interest</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Closing Bal.</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5,00,000.00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6,313.01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4,520.83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4,93,686.99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4,93,686.99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6,370.09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4,463.75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4,87,316.89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4,87,316.89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6,427.69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4,406.16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4,80,889.21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4,80,889.21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6,485.81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4,348.04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4,74,403.40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4,74,403.40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6,544.45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4,289.40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4,67,858.95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4,67,858.95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6,603.62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4,230.22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4,61,255.33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4,61,255.33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6,663.33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4,170.52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4,54,592.00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4,54,592.00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6,723.58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4,110.27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4,47,868.43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4,47,868.43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6,784.37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4,049.48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4,41,084.06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4,41,084.06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6,845.71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3,988.14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4,34,238.35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4,34,238.35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6,907.61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3,926.24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4,27,330.74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4,27,330.74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6,970.06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3,863.78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4,20,360.67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4,20,360.67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7,033.08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3,800.76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4,13,327.59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4,13,327.59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7,096.68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3,737.17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4,06,230.91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4,06,230.91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7,160.84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3,673.00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3,99,070.07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3,99,070.07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7,225.59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3,608.26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3,91,844.49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3,91,844.49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7,290.92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3,542.93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3,84,553.57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3,84,553.57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7,356.84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3,477.01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3,77,196.73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3,77,196.73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7,423.36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3,410.49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3,69,773.37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3,69,773.37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7,490.48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3,343.37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3,62,282.89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3,62,282.89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7,558.20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3,275.64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3,54,724.69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3,54,724.69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7,626.54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3,207.30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3,47,098.14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3,47,098.14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7,695.50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3,138.35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3,39,402.64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3,39,402.64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7,765.08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3,068.77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3,31,637.56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3,31,637.56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7,835.29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2,998.56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3,23,802.27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3,23,802.27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7,906.13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2,927.71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3,15,896.14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3,15,896.14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7,977.62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2,856.23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3,07,918.52</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3,07,918.52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8,049.75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2,784.10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2,99,868.77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2,99,868.77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8,122.53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2,711.31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2,91,746.24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2,91,746.24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8,195.97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2,637.87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2,83,550.27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2,83,550.27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8,270.08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2,563.77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2,75,280.19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2,75,280.19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8,344.85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2,488.99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2,66,935.33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2,66,935.33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8,420.31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2,413.54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2,58,515.03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2,58,515.03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8,496.44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2,337.41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2,50,018.59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2,50,018.59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8,573.26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2,260.58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2,41,445.33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2,41,445.33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8,650.78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2,183.07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2,32,794.55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2,32,794.55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8,729.00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2,104.85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2,24,065.55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2,24,065.55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8,807.92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2,025.93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2,15,257.63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2,15,257.63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8,887.56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1,946.29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2,06,370.08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2,06,370.08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8,967.92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1,865.93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1,97,402.16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1,97,402.16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9,049.00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1,784.84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1,88,353.16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1,88,353.16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9,130.82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1,703.03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1,79,222.34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1,79,222.34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9,213.38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1,620.47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1,70,008.96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1,70,008.96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9,296.68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1,537.16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1,60,712.28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1,60,712.28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9,380.74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1,453.11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1,51,331.54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1,51,331.54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9,465.56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1,368.29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1,41,865.99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1,41,865.99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9,551.14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1,282.70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1,32,314.85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1,32,314.85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9,637.50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1,196.35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1,22,677.35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1,22,677.35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9,724.64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1,109.21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1,12,952.71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1,12,952.71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9,812.57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1,021.28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1,03,140.14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1,03,140.14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9,901.29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932.56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93,238.86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93,238.86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9,990.81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843.03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83,248.05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83,248.05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10,081.14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752.70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73,166.90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73,166.90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10,172.30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661.55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62,994.61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62,994.61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10,264.27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569.58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52,730.34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52,730.34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10,357.08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476.77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42,373.26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42,373.26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10,450.72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383.12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31,922.54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31,922.54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10,545.21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288.63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21,377.33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21,377.33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10,640.56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193.29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10,736.77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60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10,736.77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10,833.85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10,736.77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97.08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0.00</w:t>
            </w:r>
          </w:p>
        </w:tc>
      </w:tr>
    </w:tbl>
    <w:sectPr>
      <w:footerReference w:type="default" r:id="rId6"/>
      <w:pgSz w:w="11906" w:h="16838" w:orient="portrait"/>
      <w:pgMar w:top="720" w:right="720" w:bottom="720" w:left="720" w:header="708" w:footer="708" w:gutter="0"/>
      <w:pgBorders w:display="allPages" w:offsetFrom="page" w:zOrder="front"/>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t xml:space="preserve">Page </w:t>
    </w:r>
    <w:r>
      <w:fldChar w:fldCharType="begin"/>
      <w:instrText xml:space="preserve">PAGE</w:instrText>
      <w:fldChar w:fldCharType="separate"/>
      <w:fldChar w:fldCharType="end"/>
    </w:r>
    <w:r>
      <w:t xml:space="preserve"> of </w:t>
    </w:r>
    <w:r>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documentProtection w:edit="readOnly" w:enforcement="1" w:cryptProviderType="rsaFull" w:hash="1Tiy+Xa1a9R9o1lKk+q6xQ==" w:salt="U1VjTHBvQWZJbGZrZ3Z5aA==" w:cryptAlgorithmType="typeAES" w:cryptAlgorithmSid="14" w:cryptSpinCount="10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10pt"/>
        <w:szCs w:val="10pt"/>
        <w:rFonts w:ascii="Calibri" w:cs="Calibri" w:eastAsia="Calibri" w:hAnsi="Calibri"/>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rPr>
      <w:sz w:val="10pt"/>
      <w:szCs w:val="10pt"/>
      <w:rFonts w:ascii="Calibri" w:cs="Calibri" w:eastAsia="Calibri" w:hAnsi="Calibri"/>
    </w:rPr>
  </w:style>
  <w:style w:type="paragraph" w:styleId="Strong">
    <w:name w:val="Strong"/>
    <w:basedOn w:val="Normal"/>
    <w:rPr>
      <w:b/>
      <w:bCs/>
      <w:sz w:val="10pt"/>
      <w:szCs w:val="10pt"/>
      <w:rFonts w:ascii="Calibri" w:cs="Calibri" w:eastAsia="Calibri" w:hAnsi="Calibri"/>
    </w:rPr>
  </w:style>
  <w:style w:type="paragraph" w:styleId="TableHeaderStyle">
    <w:name w:val="Table Header Style"/>
    <w:basedOn w:val="Normal"/>
    <w:rPr>
      <w:b/>
      <w:bCs/>
      <w:sz w:val="10pt"/>
      <w:szCs w:val="10pt"/>
      <w:rFonts w:ascii="Calibri" w:cs="Calibri" w:eastAsia="Calibri" w:hAnsi="Calibri"/>
    </w:rPr>
  </w:style>
  <w:style w:type="paragraph" w:styleId="sectionHeading">
    <w:name w:val="Section Heading"/>
    <w:basedOn w:val="Normal"/>
    <w:pPr>
      <w:spacing w:before="240" w:after="120"/>
    </w:pPr>
    <w:rPr>
      <w:b/>
      <w:bCs/>
      <w:color w:val="475569"/>
      <w:sz w:val="14pt"/>
      <w:szCs w:val="14pt"/>
      <w:rFonts w:ascii="Calibri" w:cs="Calibri" w:eastAsia="Calibri" w:hAnsi="Calibri"/>
    </w:rPr>
  </w:style>
  <w:style w:type="paragraph" w:styleId="docTitle">
    <w:name w:val="Document Title"/>
    <w:basedOn w:val="Normal"/>
    <w:pPr>
      <w:spacing w:before="240" w:after="240"/>
    </w:pPr>
    <w:rPr>
      <w:b/>
      <w:bCs/>
      <w:color w:val="475569"/>
      <w:sz w:val="18pt"/>
      <w:szCs w:val="18pt"/>
      <w:rFonts w:ascii="Calibri" w:cs="Calibri" w:eastAsia="Calibri" w:hAnsi="Calibri"/>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footer" Target="footer1.xml"/><Relationship Id="rId7" Type="http://schemas.openxmlformats.org/officeDocument/2006/relationships/image" Target="media/a016sedoilpxrrl2b9ioo.png"/><Relationship Id="rId8" Type="http://schemas.openxmlformats.org/officeDocument/2006/relationships/image" Target="media/v3iaqr3nv4dlmnwhblvld.png"/><Relationship Id="rId9" Type="http://schemas.openxmlformats.org/officeDocument/2006/relationships/image" Target="media/6v27ok-spwsfu81m9so7p.png"/><Relationship Id="rId10" Type="http://schemas.openxmlformats.org/officeDocument/2006/relationships/image" Target="media/c08tb0iwbytoyiilno2ai.png"/><Relationship Id="rId11" Type="http://schemas.openxmlformats.org/officeDocument/2006/relationships/image" Target="media/hce-5mga0q8qoinrmowen.png"/><Relationship Id="rId12" Type="http://schemas.openxmlformats.org/officeDocument/2006/relationships/image" Target="media/xekmyb0-u2f3nm_ynfzoz.png"/><Relationship Id="rId13" Type="http://schemas.openxmlformats.org/officeDocument/2006/relationships/image" Target="media/2zsbjlpmex17ffnuyhwep.png"/><Relationship Id="rId14" Type="http://schemas.openxmlformats.org/officeDocument/2006/relationships/image" Target="media/uo8oeut2q7uf5fbusekd5.png"/><Relationship Id="rId15" Type="http://schemas.openxmlformats.org/officeDocument/2006/relationships/image" Target="media/jagiw_swbsmz4n_7-gcou.png"/></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2026-05-06T11:10:03.312Z</dcterms:created>
  <dcterms:modified xsi:type="dcterms:W3CDTF">2026-05-06T11:10:03.312Z</dcterms:modified>
</cp:coreProperties>
</file>

<file path=docProps/custom.xml><?xml version="1.0" encoding="utf-8"?>
<Properties xmlns="http://schemas.openxmlformats.org/officeDocument/2006/custom-properties" xmlns:vt="http://schemas.openxmlformats.org/officeDocument/2006/docPropsVTypes"/>
</file>