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500"/>
      </w:pPr>
    </w:p>
    <w:p>
      <w:pPr>
        <w:spacing w:after="500"/>
        <w:jc w:val="center"/>
      </w:pPr>
      <w:r>
        <w:drawing>
          <wp:inline distT="0" distB="0" distL="0" distR="0">
            <wp:extent cx="4286250" cy="2857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4286250" cy="2857500"/>
                    </a:xfrm>
                    <a:prstGeom prst="rect">
                      <a:avLst/>
                    </a:prstGeom>
                  </pic:spPr>
                </pic:pic>
              </a:graphicData>
            </a:graphic>
          </wp:inline>
        </w:drawing>
      </w:r>
    </w:p>
    <w:p>
      <w:pPr>
        <w:spacing w:after="1200" w:before="500"/>
        <w:jc w:val="center"/>
      </w:pPr>
      <w:r>
        <w:rPr>
          <w:b/>
          <w:bCs/>
          <w:sz w:val="48"/>
          <w:szCs w:val="48"/>
          <w:rFonts w:ascii="Arial" w:cs="Arial" w:eastAsia="Arial" w:hAnsi="Arial"/>
        </w:rPr>
        <w:t xml:space="preserve">Credit Monitoring Analysis (C M A)</w:t>
      </w:r>
    </w:p>
    <w:p>
      <w:pPr>
        <w:spacing w:after="1000" w:before="1000"/>
        <w:jc w:val="center"/>
      </w:pPr>
      <w:r>
        <w:rPr>
          <w:sz w:val="36"/>
          <w:szCs w:val="36"/>
          <w:rFonts w:ascii="Arial" w:cs="Arial" w:eastAsia="Arial" w:hAnsi="Arial"/>
        </w:rPr>
        <w:t xml:space="preserve">Of</w:t>
      </w:r>
    </w:p>
    <w:p>
      <w:pPr>
        <w:spacing w:after="300" w:before="0"/>
        <w:jc w:val="center"/>
      </w:pPr>
      <w:r>
        <w:rPr>
          <w:b/>
          <w:bCs/>
          <w:sz w:val="60"/>
          <w:szCs w:val="60"/>
          <w:rFonts w:ascii="Arial" w:cs="Arial" w:eastAsia="Arial" w:hAnsi="Arial"/>
        </w:rPr>
        <w:t xml:space="preserve">FINXORA PACKAGING PRIVATE LIMITED</w:t>
      </w:r>
    </w:p>
    <w:p>
      <w:pPr>
        <w:spacing w:before="50" w:after="50"/>
        <w:jc w:val="center"/>
      </w:pPr>
      <w:r>
        <w:rPr>
          <w:sz w:val="24"/>
          <w:szCs w:val="24"/>
          <w:rFonts w:ascii="Arial" w:cs="Arial" w:eastAsia="Arial" w:hAnsi="Arial"/>
        </w:rPr>
        <w:t xml:space="preserve">GST No.: 23AAACF0000A1Z5</w:t>
      </w:r>
    </w:p>
    <w:p>
      <w:pPr>
        <w:spacing w:before="50" w:after="50"/>
        <w:jc w:val="center"/>
      </w:pPr>
      <w:r>
        <w:rPr>
          <w:sz w:val="24"/>
          <w:szCs w:val="24"/>
          <w:rFonts w:ascii="Arial" w:cs="Arial" w:eastAsia="Arial" w:hAnsi="Arial"/>
        </w:rPr>
        <w:t xml:space="preserve">UDYAM No.: UDYAM-MP-00-0000000</w:t>
      </w:r>
    </w:p>
    <w:p>
      <w:pPr>
        <w:spacing w:before="150" w:after="150"/>
        <w:jc w:val="center"/>
      </w:pPr>
      <w:r>
        <w:rPr>
          <w:b/>
          <w:bCs/>
          <w:sz w:val="28"/>
          <w:szCs w:val="28"/>
          <w:rFonts w:ascii="Arial" w:cs="Arial" w:eastAsia="Arial" w:hAnsi="Arial"/>
        </w:rPr>
        <w:t xml:space="preserve">For Term Loan of 68,40,000.00 /- and CC of 19,80,000.00 /-</w:t>
      </w:r>
    </w:p>
    <w:p>
      <w:pPr>
        <w:spacing w:after="3300"/>
      </w:pPr>
    </w:p>
    <w:p>
      <w:pPr>
        <w:sectPr>
          <w:pgSz w:w="11906" w:h="16838" w:orient="portrait"/>
          <w:pgMar w:top="720" w:right="720" w:bottom="720" w:left="720" w:header="708" w:footer="708" w:gutter="0"/>
          <w:pgNumType/>
          <w:docGrid w:linePitch="360"/>
        </w:sectPr>
      </w:pPr>
    </w:p>
    <w:p>
      <w:pPr>
        <w:spacing w:after="300" w:before="200"/>
        <w:jc w:val="center"/>
      </w:pPr>
      <w:r>
        <w:rPr>
          <w:b/>
          <w:bCs/>
          <w:color w:val="475569"/>
          <w:sz w:val="18pt"/>
          <w:szCs w:val="18pt"/>
          <w:rFonts w:ascii="Calibri" w:cs="Calibri" w:eastAsia="Calibri" w:hAnsi="Calibri"/>
        </w:rPr>
        <w:t xml:space="preserve">INDEX</w:t>
      </w:r>
    </w:p>
    <w:sdt>
      <w:sdtPr>
        <w:alias w:val="Table of Contents"/>
      </w:sdtPr>
      <w:sdtContent>
        <w:p>
          <w:r>
            <w:fldChar w:fldCharType="begin" w:dirty="true"/>
            <w:instrText xml:space="preserve">TOC \h \t "docTitle,1,sectionHeading,1"</w:instrText>
            <w:fldChar w:fldCharType="separate"/>
          </w:r>
        </w:p>
        <w:p>
          <w:r>
            <w:fldChar w:fldCharType="end"/>
          </w:r>
        </w:p>
      </w:sdtContent>
    </w:sdt>
    <w:p>
      <w:r>
        <w:br w:type="page"/>
      </w:r>
    </w:p>
    <w:p>
      <w:pPr>
        <w:pStyle w:val="docTitle"/>
        <w:spacing w:after="300" w:before="200"/>
        <w:jc w:val="center"/>
      </w:pPr>
      <w:r>
        <w:t xml:space="preserve">COMPANY PROFILE</w:t>
      </w:r>
    </w:p>
    <w:p>
      <w:pPr>
        <w:pStyle w:val="sectionHeading"/>
        <w:spacing w:after="150" w:before="150"/>
        <w:jc w:val="left"/>
      </w:pPr>
      <w:r>
        <w:t xml:space="preserve">I. Company Information</w:t>
      </w:r>
    </w:p>
    <w:tbl>
      <w:tblPr>
        <w:tblW w:type="pct" w:w="90%"/>
        <w:jc w:val="center"/>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rHeight w:val="431" w:hRule="atLeast"/>
        </w:trPr>
        <w:tc>
          <w:tcPr>
            <w:tcW w:type="pct" w:w="40%"/>
            <w:tcBorders>
              <w:top w:val="single" w:color="BFBFBF" w:sz="1"/>
              <w:left w:val="single" w:color="BFBFBF" w:sz="1"/>
              <w:bottom w:val="single" w:color="BFBFBF" w:sz="1"/>
              <w:right w:val="single" w:color="BFBFBF" w:sz="1"/>
            </w:tcBorders>
            <w:vAlign w:val="center"/>
          </w:tcPr>
          <w:p>
            <w:pPr>
              <w:pStyle w:val="Default"/>
              <w:spacing w:before="60" w:after="60"/>
            </w:pPr>
            <w:r>
              <w:rPr>
                <w:b/>
                <w:bCs/>
              </w:rPr>
              <w:t xml:space="preserve">Name of the Company/Firm</w:t>
            </w:r>
          </w:p>
        </w:tc>
        <w:tc>
          <w:tcPr>
            <w:tcW w:type="pct" w:w="60%"/>
            <w:tcBorders>
              <w:top w:val="single" w:color="BFBFBF" w:sz="1"/>
              <w:left w:val="single" w:color="BFBFBF" w:sz="1"/>
              <w:bottom w:val="single" w:color="BFBFBF" w:sz="1"/>
              <w:right w:val="single" w:color="BFBFBF" w:sz="1"/>
            </w:tcBorders>
            <w:vAlign w:val="center"/>
          </w:tcPr>
          <w:p>
            <w:pPr>
              <w:pStyle w:val="Default"/>
              <w:spacing w:before="60" w:after="60"/>
            </w:pPr>
            <w:r>
              <w:t xml:space="preserve">FINXORA PACKAGING PRIVATE LIMITED</w:t>
            </w:r>
          </w:p>
        </w:tc>
      </w:tr>
      <w:tr>
        <w:trPr>
          <w:trHeight w:val="431" w:hRule="atLeast"/>
        </w:trPr>
        <w:tc>
          <w:tcPr>
            <w:tcW w:type="pct" w:w="40%"/>
            <w:tcBorders>
              <w:top w:val="single" w:color="BFBFBF" w:sz="1"/>
              <w:left w:val="single" w:color="BFBFBF" w:sz="1"/>
              <w:bottom w:val="single" w:color="BFBFBF" w:sz="1"/>
              <w:right w:val="single" w:color="BFBFBF" w:sz="1"/>
            </w:tcBorders>
            <w:vAlign w:val="center"/>
          </w:tcPr>
          <w:p>
            <w:pPr>
              <w:pStyle w:val="Default"/>
              <w:spacing w:before="60" w:after="60"/>
            </w:pPr>
            <w:r>
              <w:rPr>
                <w:b/>
                <w:bCs/>
              </w:rPr>
              <w:t xml:space="preserve">Director 1</w:t>
            </w:r>
          </w:p>
        </w:tc>
        <w:tc>
          <w:tcPr>
            <w:tcW w:type="pct" w:w="60%"/>
            <w:tcBorders>
              <w:top w:val="single" w:color="BFBFBF" w:sz="1"/>
              <w:left w:val="single" w:color="BFBFBF" w:sz="1"/>
              <w:bottom w:val="single" w:color="BFBFBF" w:sz="1"/>
              <w:right w:val="single" w:color="BFBFBF" w:sz="1"/>
            </w:tcBorders>
            <w:vAlign w:val="center"/>
          </w:tcPr>
          <w:p>
            <w:pPr>
              <w:pStyle w:val="Default"/>
              <w:spacing w:before="60" w:after="60"/>
            </w:pPr>
            <w:r>
              <w:t xml:space="preserve">Aarav Mehta (Male, General)</w:t>
            </w:r>
          </w:p>
        </w:tc>
      </w:tr>
      <w:tr>
        <w:trPr>
          <w:trHeight w:val="431" w:hRule="atLeast"/>
        </w:trPr>
        <w:tc>
          <w:tcPr>
            <w:tcW w:type="pct" w:w="40%"/>
            <w:tcBorders>
              <w:top w:val="single" w:color="BFBFBF" w:sz="1"/>
              <w:left w:val="single" w:color="BFBFBF" w:sz="1"/>
              <w:bottom w:val="single" w:color="BFBFBF" w:sz="1"/>
              <w:right w:val="single" w:color="BFBFBF" w:sz="1"/>
            </w:tcBorders>
            <w:vAlign w:val="center"/>
          </w:tcPr>
          <w:p>
            <w:pPr>
              <w:pStyle w:val="Default"/>
              <w:spacing w:before="60" w:after="60"/>
            </w:pPr>
            <w:r>
              <w:rPr>
                <w:b/>
                <w:bCs/>
              </w:rPr>
              <w:t xml:space="preserve">Director 2</w:t>
            </w:r>
          </w:p>
        </w:tc>
        <w:tc>
          <w:tcPr>
            <w:tcW w:type="pct" w:w="60%"/>
            <w:tcBorders>
              <w:top w:val="single" w:color="BFBFBF" w:sz="1"/>
              <w:left w:val="single" w:color="BFBFBF" w:sz="1"/>
              <w:bottom w:val="single" w:color="BFBFBF" w:sz="1"/>
              <w:right w:val="single" w:color="BFBFBF" w:sz="1"/>
            </w:tcBorders>
            <w:vAlign w:val="center"/>
          </w:tcPr>
          <w:p>
            <w:pPr>
              <w:pStyle w:val="Default"/>
              <w:spacing w:before="60" w:after="60"/>
            </w:pPr>
            <w:r>
              <w:t xml:space="preserve">Neha Kapoor (Female, General)</w:t>
            </w:r>
          </w:p>
        </w:tc>
      </w:tr>
      <w:tr>
        <w:trPr>
          <w:trHeight w:val="431" w:hRule="atLeast"/>
        </w:trPr>
        <w:tc>
          <w:tcPr>
            <w:tcW w:type="pct" w:w="40%"/>
            <w:tcBorders>
              <w:top w:val="single" w:color="BFBFBF" w:sz="1"/>
              <w:left w:val="single" w:color="BFBFBF" w:sz="1"/>
              <w:bottom w:val="single" w:color="BFBFBF" w:sz="1"/>
              <w:right w:val="single" w:color="BFBFBF" w:sz="1"/>
            </w:tcBorders>
            <w:vAlign w:val="center"/>
          </w:tcPr>
          <w:p>
            <w:pPr>
              <w:pStyle w:val="Default"/>
              <w:spacing w:before="60" w:after="60"/>
            </w:pPr>
            <w:r>
              <w:rPr>
                <w:b/>
                <w:bCs/>
              </w:rPr>
              <w:t xml:space="preserve">Constitution</w:t>
            </w:r>
          </w:p>
        </w:tc>
        <w:tc>
          <w:tcPr>
            <w:tcW w:type="pct" w:w="60%"/>
            <w:tcBorders>
              <w:top w:val="single" w:color="BFBFBF" w:sz="1"/>
              <w:left w:val="single" w:color="BFBFBF" w:sz="1"/>
              <w:bottom w:val="single" w:color="BFBFBF" w:sz="1"/>
              <w:right w:val="single" w:color="BFBFBF" w:sz="1"/>
            </w:tcBorders>
            <w:vAlign w:val="center"/>
          </w:tcPr>
          <w:p>
            <w:pPr>
              <w:pStyle w:val="Default"/>
              <w:spacing w:before="60" w:after="60"/>
            </w:pPr>
            <w:r>
              <w:t xml:space="preserve">private_limited</w:t>
            </w:r>
          </w:p>
        </w:tc>
      </w:tr>
      <w:tr>
        <w:trPr>
          <w:trHeight w:val="431" w:hRule="atLeast"/>
        </w:trPr>
        <w:tc>
          <w:tcPr>
            <w:tcW w:type="pct" w:w="40%"/>
            <w:tcBorders>
              <w:top w:val="single" w:color="BFBFBF" w:sz="1"/>
              <w:left w:val="single" w:color="BFBFBF" w:sz="1"/>
              <w:bottom w:val="single" w:color="BFBFBF" w:sz="1"/>
              <w:right w:val="single" w:color="BFBFBF" w:sz="1"/>
            </w:tcBorders>
            <w:vAlign w:val="center"/>
          </w:tcPr>
          <w:p>
            <w:pPr>
              <w:pStyle w:val="Default"/>
              <w:spacing w:before="60" w:after="60"/>
            </w:pPr>
            <w:r>
              <w:rPr>
                <w:b/>
                <w:bCs/>
              </w:rPr>
              <w:t xml:space="preserve">Address</w:t>
            </w:r>
          </w:p>
        </w:tc>
        <w:tc>
          <w:tcPr>
            <w:tcW w:type="pct" w:w="60%"/>
            <w:tcBorders>
              <w:top w:val="single" w:color="BFBFBF" w:sz="1"/>
              <w:left w:val="single" w:color="BFBFBF" w:sz="1"/>
              <w:bottom w:val="single" w:color="BFBFBF" w:sz="1"/>
              <w:right w:val="single" w:color="BFBFBF" w:sz="1"/>
            </w:tcBorders>
            <w:vAlign w:val="center"/>
          </w:tcPr>
          <w:p>
            <w:pPr>
              <w:pStyle w:val="Default"/>
              <w:spacing w:before="60" w:after="60"/>
            </w:pPr>
            <w:r>
              <w:t xml:space="preserve">Plot 12, Industrial Area, Indore, Madhya Pradesh 452001</w:t>
            </w:r>
          </w:p>
        </w:tc>
      </w:tr>
      <w:tr>
        <w:trPr>
          <w:trHeight w:val="431" w:hRule="atLeast"/>
        </w:trPr>
        <w:tc>
          <w:tcPr>
            <w:tcW w:type="pct" w:w="40%"/>
            <w:tcBorders>
              <w:top w:val="single" w:color="BFBFBF" w:sz="1"/>
              <w:left w:val="single" w:color="BFBFBF" w:sz="1"/>
              <w:bottom w:val="single" w:color="BFBFBF" w:sz="1"/>
              <w:right w:val="single" w:color="BFBFBF" w:sz="1"/>
            </w:tcBorders>
            <w:vAlign w:val="center"/>
          </w:tcPr>
          <w:p>
            <w:pPr>
              <w:pStyle w:val="Default"/>
              <w:spacing w:before="60" w:after="60"/>
            </w:pPr>
            <w:r>
              <w:rPr>
                <w:b/>
                <w:bCs/>
              </w:rPr>
              <w:t xml:space="preserve">PAN No.</w:t>
            </w:r>
          </w:p>
        </w:tc>
        <w:tc>
          <w:tcPr>
            <w:tcW w:type="pct" w:w="60%"/>
            <w:tcBorders>
              <w:top w:val="single" w:color="BFBFBF" w:sz="1"/>
              <w:left w:val="single" w:color="BFBFBF" w:sz="1"/>
              <w:bottom w:val="single" w:color="BFBFBF" w:sz="1"/>
              <w:right w:val="single" w:color="BFBFBF" w:sz="1"/>
            </w:tcBorders>
            <w:vAlign w:val="center"/>
          </w:tcPr>
          <w:p>
            <w:pPr>
              <w:pStyle w:val="Default"/>
              <w:spacing w:before="60" w:after="60"/>
            </w:pPr>
            <w:r>
              <w:t xml:space="preserve">AAACF0000A</w:t>
            </w:r>
          </w:p>
        </w:tc>
      </w:tr>
      <w:tr>
        <w:trPr>
          <w:trHeight w:val="431" w:hRule="atLeast"/>
        </w:trPr>
        <w:tc>
          <w:tcPr>
            <w:tcW w:type="pct" w:w="40%"/>
            <w:tcBorders>
              <w:top w:val="single" w:color="BFBFBF" w:sz="1"/>
              <w:left w:val="single" w:color="BFBFBF" w:sz="1"/>
              <w:bottom w:val="single" w:color="BFBFBF" w:sz="1"/>
              <w:right w:val="single" w:color="BFBFBF" w:sz="1"/>
            </w:tcBorders>
            <w:vAlign w:val="center"/>
          </w:tcPr>
          <w:p>
            <w:pPr>
              <w:pStyle w:val="Default"/>
              <w:spacing w:before="60" w:after="60"/>
            </w:pPr>
            <w:r>
              <w:rPr>
                <w:b/>
                <w:bCs/>
              </w:rPr>
              <w:t xml:space="preserve">Date of Incorporation/Birth</w:t>
            </w:r>
          </w:p>
        </w:tc>
        <w:tc>
          <w:tcPr>
            <w:tcW w:type="pct" w:w="60%"/>
            <w:tcBorders>
              <w:top w:val="single" w:color="BFBFBF" w:sz="1"/>
              <w:left w:val="single" w:color="BFBFBF" w:sz="1"/>
              <w:bottom w:val="single" w:color="BFBFBF" w:sz="1"/>
              <w:right w:val="single" w:color="BFBFBF" w:sz="1"/>
            </w:tcBorders>
            <w:vAlign w:val="center"/>
          </w:tcPr>
          <w:p>
            <w:pPr>
              <w:pStyle w:val="Default"/>
              <w:spacing w:before="60" w:after="60"/>
            </w:pPr>
            <w:r>
              <w:t xml:space="preserve">01-Apr-2020</w:t>
            </w:r>
          </w:p>
        </w:tc>
      </w:tr>
      <w:tr>
        <w:trPr>
          <w:trHeight w:val="431" w:hRule="atLeast"/>
        </w:trPr>
        <w:tc>
          <w:tcPr>
            <w:tcW w:type="pct" w:w="40%"/>
            <w:tcBorders>
              <w:top w:val="single" w:color="BFBFBF" w:sz="1"/>
              <w:left w:val="single" w:color="BFBFBF" w:sz="1"/>
              <w:bottom w:val="single" w:color="BFBFBF" w:sz="1"/>
              <w:right w:val="single" w:color="BFBFBF" w:sz="1"/>
            </w:tcBorders>
            <w:vAlign w:val="center"/>
          </w:tcPr>
          <w:p>
            <w:pPr>
              <w:pStyle w:val="Default"/>
              <w:spacing w:before="60" w:after="60"/>
            </w:pPr>
            <w:r>
              <w:rPr>
                <w:b/>
                <w:bCs/>
              </w:rPr>
              <w:t xml:space="preserve">Industry</w:t>
            </w:r>
          </w:p>
        </w:tc>
        <w:tc>
          <w:tcPr>
            <w:tcW w:type="pct" w:w="60%"/>
            <w:tcBorders>
              <w:top w:val="single" w:color="BFBFBF" w:sz="1"/>
              <w:left w:val="single" w:color="BFBFBF" w:sz="1"/>
              <w:bottom w:val="single" w:color="BFBFBF" w:sz="1"/>
              <w:right w:val="single" w:color="BFBFBF" w:sz="1"/>
            </w:tcBorders>
            <w:vAlign w:val="center"/>
          </w:tcPr>
          <w:p>
            <w:pPr>
              <w:pStyle w:val="Default"/>
              <w:spacing w:before="60" w:after="60"/>
            </w:pPr>
            <w:r>
              <w:t xml:space="preserve">Corrugated box manufacturing</w:t>
            </w:r>
          </w:p>
        </w:tc>
      </w:tr>
      <w:tr>
        <w:trPr>
          <w:trHeight w:val="431" w:hRule="atLeast"/>
        </w:trPr>
        <w:tc>
          <w:tcPr>
            <w:tcW w:type="pct" w:w="40%"/>
            <w:tcBorders>
              <w:top w:val="single" w:color="BFBFBF" w:sz="1"/>
              <w:left w:val="single" w:color="BFBFBF" w:sz="1"/>
              <w:bottom w:val="single" w:color="BFBFBF" w:sz="1"/>
              <w:right w:val="single" w:color="BFBFBF" w:sz="1"/>
            </w:tcBorders>
            <w:vAlign w:val="center"/>
          </w:tcPr>
          <w:p>
            <w:pPr>
              <w:pStyle w:val="Default"/>
              <w:spacing w:before="60" w:after="60"/>
            </w:pPr>
            <w:r>
              <w:rPr>
                <w:b/>
                <w:bCs/>
              </w:rPr>
              <w:t xml:space="preserve">Type of Business</w:t>
            </w:r>
          </w:p>
        </w:tc>
        <w:tc>
          <w:tcPr>
            <w:tcW w:type="pct" w:w="60%"/>
            <w:tcBorders>
              <w:top w:val="single" w:color="BFBFBF" w:sz="1"/>
              <w:left w:val="single" w:color="BFBFBF" w:sz="1"/>
              <w:bottom w:val="single" w:color="BFBFBF" w:sz="1"/>
              <w:right w:val="single" w:color="BFBFBF" w:sz="1"/>
            </w:tcBorders>
            <w:vAlign w:val="center"/>
          </w:tcPr>
          <w:p>
            <w:pPr>
              <w:pStyle w:val="Default"/>
              <w:spacing w:before="60" w:after="60"/>
            </w:pPr>
            <w:r>
              <w:t xml:space="preserve">manufacturing</w:t>
            </w:r>
          </w:p>
        </w:tc>
      </w:tr>
      <w:tr>
        <w:trPr>
          <w:trHeight w:val="431" w:hRule="atLeast"/>
        </w:trPr>
        <w:tc>
          <w:tcPr>
            <w:tcW w:type="pct" w:w="40%"/>
            <w:tcBorders>
              <w:top w:val="single" w:color="BFBFBF" w:sz="1"/>
              <w:left w:val="single" w:color="BFBFBF" w:sz="1"/>
              <w:bottom w:val="single" w:color="BFBFBF" w:sz="1"/>
              <w:right w:val="single" w:color="BFBFBF" w:sz="1"/>
            </w:tcBorders>
            <w:vAlign w:val="center"/>
          </w:tcPr>
          <w:p>
            <w:pPr>
              <w:pStyle w:val="Default"/>
              <w:spacing w:before="60" w:after="60"/>
            </w:pPr>
            <w:r>
              <w:rPr>
                <w:b/>
                <w:bCs/>
              </w:rPr>
              <w:t xml:space="preserve">Father/Spouse/Guardian Name</w:t>
            </w:r>
          </w:p>
        </w:tc>
        <w:tc>
          <w:tcPr>
            <w:tcW w:type="pct" w:w="60%"/>
            <w:tcBorders>
              <w:top w:val="single" w:color="BFBFBF" w:sz="1"/>
              <w:left w:val="single" w:color="BFBFBF" w:sz="1"/>
              <w:bottom w:val="single" w:color="BFBFBF" w:sz="1"/>
              <w:right w:val="single" w:color="BFBFBF" w:sz="1"/>
            </w:tcBorders>
            <w:vAlign w:val="center"/>
          </w:tcPr>
          <w:p>
            <w:pPr>
              <w:pStyle w:val="Default"/>
              <w:spacing w:before="60" w:after="60"/>
            </w:pPr>
            <w:r>
              <w:t xml:space="preserve">Dev Mehta</w:t>
            </w:r>
          </w:p>
        </w:tc>
      </w:tr>
      <w:tr>
        <w:trPr>
          <w:trHeight w:val="431" w:hRule="atLeast"/>
        </w:trPr>
        <w:tc>
          <w:tcPr>
            <w:tcW w:type="pct" w:w="40%"/>
            <w:tcBorders>
              <w:top w:val="single" w:color="BFBFBF" w:sz="1"/>
              <w:left w:val="single" w:color="BFBFBF" w:sz="1"/>
              <w:bottom w:val="single" w:color="BFBFBF" w:sz="1"/>
              <w:right w:val="single" w:color="BFBFBF" w:sz="1"/>
            </w:tcBorders>
            <w:vAlign w:val="center"/>
          </w:tcPr>
          <w:p>
            <w:pPr>
              <w:pStyle w:val="Default"/>
              <w:spacing w:before="60" w:after="60"/>
            </w:pPr>
            <w:r>
              <w:rPr>
                <w:b/>
                <w:bCs/>
              </w:rPr>
              <w:t xml:space="preserve">Marital Status</w:t>
            </w:r>
          </w:p>
        </w:tc>
        <w:tc>
          <w:tcPr>
            <w:tcW w:type="pct" w:w="60%"/>
            <w:tcBorders>
              <w:top w:val="single" w:color="BFBFBF" w:sz="1"/>
              <w:left w:val="single" w:color="BFBFBF" w:sz="1"/>
              <w:bottom w:val="single" w:color="BFBFBF" w:sz="1"/>
              <w:right w:val="single" w:color="BFBFBF" w:sz="1"/>
            </w:tcBorders>
            <w:vAlign w:val="center"/>
          </w:tcPr>
          <w:p>
            <w:pPr>
              <w:pStyle w:val="Default"/>
              <w:spacing w:before="60" w:after="60"/>
            </w:pPr>
            <w:r>
              <w:t xml:space="preserve">Married</w:t>
            </w:r>
          </w:p>
        </w:tc>
      </w:tr>
      <w:tr>
        <w:trPr>
          <w:trHeight w:val="431" w:hRule="atLeast"/>
        </w:trPr>
        <w:tc>
          <w:tcPr>
            <w:tcW w:type="pct" w:w="40%"/>
            <w:tcBorders>
              <w:top w:val="single" w:color="BFBFBF" w:sz="1"/>
              <w:left w:val="single" w:color="BFBFBF" w:sz="1"/>
              <w:bottom w:val="single" w:color="BFBFBF" w:sz="1"/>
              <w:right w:val="single" w:color="BFBFBF" w:sz="1"/>
            </w:tcBorders>
            <w:vAlign w:val="center"/>
          </w:tcPr>
          <w:p>
            <w:pPr>
              <w:pStyle w:val="Default"/>
              <w:spacing w:before="60" w:after="60"/>
            </w:pPr>
            <w:r>
              <w:rPr>
                <w:b/>
                <w:bCs/>
              </w:rPr>
              <w:t xml:space="preserve">Educational Qualification</w:t>
            </w:r>
          </w:p>
        </w:tc>
        <w:tc>
          <w:tcPr>
            <w:tcW w:type="pct" w:w="60%"/>
            <w:tcBorders>
              <w:top w:val="single" w:color="BFBFBF" w:sz="1"/>
              <w:left w:val="single" w:color="BFBFBF" w:sz="1"/>
              <w:bottom w:val="single" w:color="BFBFBF" w:sz="1"/>
              <w:right w:val="single" w:color="BFBFBF" w:sz="1"/>
            </w:tcBorders>
            <w:vAlign w:val="center"/>
          </w:tcPr>
          <w:p>
            <w:pPr>
              <w:pStyle w:val="Default"/>
              <w:spacing w:before="60" w:after="60"/>
            </w:pPr>
            <w:r>
              <w:t xml:space="preserve">Graduate with sector training</w:t>
            </w:r>
          </w:p>
        </w:tc>
      </w:tr>
      <w:tr>
        <w:trPr>
          <w:trHeight w:val="431" w:hRule="atLeast"/>
        </w:trPr>
        <w:tc>
          <w:tcPr>
            <w:tcW w:type="pct" w:w="40%"/>
            <w:tcBorders>
              <w:top w:val="single" w:color="BFBFBF" w:sz="1"/>
              <w:left w:val="single" w:color="BFBFBF" w:sz="1"/>
              <w:bottom w:val="single" w:color="BFBFBF" w:sz="1"/>
              <w:right w:val="single" w:color="BFBFBF" w:sz="1"/>
            </w:tcBorders>
            <w:vAlign w:val="center"/>
          </w:tcPr>
          <w:p>
            <w:pPr>
              <w:pStyle w:val="Default"/>
              <w:spacing w:before="60" w:after="60"/>
            </w:pPr>
            <w:r>
              <w:rPr>
                <w:b/>
                <w:bCs/>
              </w:rPr>
              <w:t xml:space="preserve">Profession/Occupation</w:t>
            </w:r>
          </w:p>
        </w:tc>
        <w:tc>
          <w:tcPr>
            <w:tcW w:type="pct" w:w="60%"/>
            <w:tcBorders>
              <w:top w:val="single" w:color="BFBFBF" w:sz="1"/>
              <w:left w:val="single" w:color="BFBFBF" w:sz="1"/>
              <w:bottom w:val="single" w:color="BFBFBF" w:sz="1"/>
              <w:right w:val="single" w:color="BFBFBF" w:sz="1"/>
            </w:tcBorders>
            <w:vAlign w:val="center"/>
          </w:tcPr>
          <w:p>
            <w:pPr>
              <w:pStyle w:val="Default"/>
              <w:spacing w:before="60" w:after="60"/>
            </w:pPr>
            <w:r>
              <w:t xml:space="preserve">Corrugated box manufacturing</w:t>
            </w:r>
          </w:p>
        </w:tc>
      </w:tr>
      <w:tr>
        <w:trPr>
          <w:trHeight w:val="431" w:hRule="atLeast"/>
        </w:trPr>
        <w:tc>
          <w:tcPr>
            <w:tcW w:type="pct" w:w="40%"/>
            <w:tcBorders>
              <w:top w:val="single" w:color="BFBFBF" w:sz="1"/>
              <w:left w:val="single" w:color="BFBFBF" w:sz="1"/>
              <w:bottom w:val="single" w:color="BFBFBF" w:sz="1"/>
              <w:right w:val="single" w:color="BFBFBF" w:sz="1"/>
            </w:tcBorders>
            <w:vAlign w:val="center"/>
          </w:tcPr>
          <w:p>
            <w:pPr>
              <w:pStyle w:val="Default"/>
              <w:spacing w:before="60" w:after="60"/>
            </w:pPr>
            <w:r>
              <w:rPr>
                <w:b/>
                <w:bCs/>
              </w:rPr>
              <w:t xml:space="preserve">Contact Number</w:t>
            </w:r>
          </w:p>
        </w:tc>
        <w:tc>
          <w:tcPr>
            <w:tcW w:type="pct" w:w="60%"/>
            <w:tcBorders>
              <w:top w:val="single" w:color="BFBFBF" w:sz="1"/>
              <w:left w:val="single" w:color="BFBFBF" w:sz="1"/>
              <w:bottom w:val="single" w:color="BFBFBF" w:sz="1"/>
              <w:right w:val="single" w:color="BFBFBF" w:sz="1"/>
            </w:tcBorders>
            <w:vAlign w:val="center"/>
          </w:tcPr>
          <w:p>
            <w:pPr>
              <w:pStyle w:val="Default"/>
              <w:spacing w:before="60" w:after="60"/>
            </w:pPr>
            <w:r>
              <w:t xml:space="preserve">0000000000</w:t>
            </w:r>
          </w:p>
        </w:tc>
      </w:tr>
      <w:tr>
        <w:trPr>
          <w:trHeight w:val="431" w:hRule="atLeast"/>
        </w:trPr>
        <w:tc>
          <w:tcPr>
            <w:tcW w:type="pct" w:w="40%"/>
            <w:tcBorders>
              <w:top w:val="single" w:color="BFBFBF" w:sz="1"/>
              <w:left w:val="single" w:color="BFBFBF" w:sz="1"/>
              <w:bottom w:val="single" w:color="BFBFBF" w:sz="1"/>
              <w:right w:val="single" w:color="BFBFBF" w:sz="1"/>
            </w:tcBorders>
            <w:vAlign w:val="center"/>
          </w:tcPr>
          <w:p>
            <w:pPr>
              <w:pStyle w:val="Default"/>
              <w:spacing w:before="60" w:after="60"/>
            </w:pPr>
            <w:r>
              <w:rPr>
                <w:b/>
                <w:bCs/>
              </w:rPr>
              <w:t xml:space="preserve">Email</w:t>
            </w:r>
          </w:p>
        </w:tc>
        <w:tc>
          <w:tcPr>
            <w:tcW w:type="pct" w:w="60%"/>
            <w:tcBorders>
              <w:top w:val="single" w:color="BFBFBF" w:sz="1"/>
              <w:left w:val="single" w:color="BFBFBF" w:sz="1"/>
              <w:bottom w:val="single" w:color="BFBFBF" w:sz="1"/>
              <w:right w:val="single" w:color="BFBFBF" w:sz="1"/>
            </w:tcBorders>
            <w:vAlign w:val="center"/>
          </w:tcPr>
          <w:p>
            <w:pPr>
              <w:pStyle w:val="Default"/>
              <w:spacing w:before="60" w:after="60"/>
            </w:pPr>
            <w:r>
              <w:t xml:space="preserve">sample@finxora.com</w:t>
            </w:r>
          </w:p>
        </w:tc>
      </w:tr>
      <w:tr>
        <w:trPr>
          <w:trHeight w:val="431" w:hRule="atLeast"/>
        </w:trPr>
        <w:tc>
          <w:tcPr>
            <w:tcW w:type="pct" w:w="40%"/>
            <w:tcBorders>
              <w:top w:val="single" w:color="BFBFBF" w:sz="1"/>
              <w:left w:val="single" w:color="BFBFBF" w:sz="1"/>
              <w:bottom w:val="single" w:color="BFBFBF" w:sz="1"/>
              <w:right w:val="single" w:color="BFBFBF" w:sz="1"/>
            </w:tcBorders>
            <w:vAlign w:val="center"/>
          </w:tcPr>
          <w:p>
            <w:pPr>
              <w:pStyle w:val="Default"/>
              <w:spacing w:before="60" w:after="60"/>
            </w:pPr>
            <w:r>
              <w:rPr>
                <w:b/>
                <w:bCs/>
              </w:rPr>
              <w:t xml:space="preserve">Aadhaar No.</w:t>
            </w:r>
          </w:p>
        </w:tc>
        <w:tc>
          <w:tcPr>
            <w:tcW w:type="pct" w:w="60%"/>
            <w:tcBorders>
              <w:top w:val="single" w:color="BFBFBF" w:sz="1"/>
              <w:left w:val="single" w:color="BFBFBF" w:sz="1"/>
              <w:bottom w:val="single" w:color="BFBFBF" w:sz="1"/>
              <w:right w:val="single" w:color="BFBFBF" w:sz="1"/>
            </w:tcBorders>
            <w:vAlign w:val="center"/>
          </w:tcPr>
          <w:p>
            <w:pPr>
              <w:pStyle w:val="Default"/>
              <w:spacing w:before="60" w:after="60"/>
            </w:pPr>
            <w:r>
              <w:t xml:space="preserve">0000 0000 0000</w:t>
            </w:r>
          </w:p>
        </w:tc>
      </w:tr>
      <w:tr>
        <w:trPr>
          <w:trHeight w:val="431" w:hRule="atLeast"/>
        </w:trPr>
        <w:tc>
          <w:tcPr>
            <w:tcW w:type="pct" w:w="40%"/>
            <w:tcBorders>
              <w:top w:val="single" w:color="BFBFBF" w:sz="1"/>
              <w:left w:val="single" w:color="BFBFBF" w:sz="1"/>
              <w:bottom w:val="single" w:color="BFBFBF" w:sz="1"/>
              <w:right w:val="single" w:color="BFBFBF" w:sz="1"/>
            </w:tcBorders>
            <w:vAlign w:val="center"/>
          </w:tcPr>
          <w:p>
            <w:pPr>
              <w:pStyle w:val="Default"/>
              <w:spacing w:before="60" w:after="60"/>
            </w:pPr>
            <w:r>
              <w:rPr>
                <w:b/>
                <w:bCs/>
              </w:rPr>
              <w:t xml:space="preserve">Business description</w:t>
            </w:r>
          </w:p>
        </w:tc>
        <w:tc>
          <w:tcPr>
            <w:tcW w:type="pct" w:w="60%"/>
            <w:tcBorders>
              <w:top w:val="single" w:color="BFBFBF" w:sz="1"/>
              <w:left w:val="single" w:color="BFBFBF" w:sz="1"/>
              <w:bottom w:val="single" w:color="BFBFBF" w:sz="1"/>
              <w:right w:val="single" w:color="BFBFBF" w:sz="1"/>
            </w:tcBorders>
            <w:vAlign w:val="center"/>
          </w:tcPr>
          <w:p>
            <w:pPr>
              <w:pStyle w:val="Default"/>
              <w:spacing w:before="60" w:after="60"/>
            </w:pPr>
            <w:r>
              <w:t xml:space="preserve">Corrugated box manufacturing serving institutional and retail customers in Indore and neighbouring districts of Madhya Pradesh. Operations combine documented customer orders, supplier evaluation, quality checks and regular collection follow-up. Management reviews stock, receivables and cash flow monthly to maintain service standards and timely debt repayment.</w:t>
            </w:r>
          </w:p>
        </w:tc>
      </w:tr>
      <w:tr>
        <w:trPr>
          <w:trHeight w:val="431" w:hRule="atLeast"/>
        </w:trPr>
        <w:tc>
          <w:tcPr>
            <w:tcW w:type="pct" w:w="40%"/>
            <w:tcBorders>
              <w:top w:val="single" w:color="BFBFBF" w:sz="1"/>
              <w:left w:val="single" w:color="BFBFBF" w:sz="1"/>
              <w:bottom w:val="single" w:color="BFBFBF" w:sz="1"/>
              <w:right w:val="single" w:color="BFBFBF" w:sz="1"/>
            </w:tcBorders>
            <w:vAlign w:val="center"/>
          </w:tcPr>
          <w:p>
            <w:pPr>
              <w:pStyle w:val="Default"/>
              <w:spacing w:before="60" w:after="60"/>
            </w:pPr>
            <w:r>
              <w:rPr>
                <w:b/>
                <w:bCs/>
              </w:rPr>
              <w:t xml:space="preserve">Incorporation / establishment</w:t>
            </w:r>
          </w:p>
        </w:tc>
        <w:tc>
          <w:tcPr>
            <w:tcW w:type="pct" w:w="60%"/>
            <w:tcBorders>
              <w:top w:val="single" w:color="BFBFBF" w:sz="1"/>
              <w:left w:val="single" w:color="BFBFBF" w:sz="1"/>
              <w:bottom w:val="single" w:color="BFBFBF" w:sz="1"/>
              <w:right w:val="single" w:color="BFBFBF" w:sz="1"/>
            </w:tcBorders>
            <w:vAlign w:val="center"/>
          </w:tcPr>
          <w:p>
            <w:pPr>
              <w:pStyle w:val="Default"/>
              <w:spacing w:before="60" w:after="60"/>
            </w:pPr>
            <w:r>
              <w:t xml:space="preserve">01-Apr-2020</w:t>
            </w:r>
          </w:p>
        </w:tc>
      </w:tr>
      <w:tr>
        <w:trPr>
          <w:trHeight w:val="431" w:hRule="atLeast"/>
        </w:trPr>
        <w:tc>
          <w:tcPr>
            <w:tcW w:type="pct" w:w="40%"/>
            <w:tcBorders>
              <w:top w:val="single" w:color="BFBFBF" w:sz="1"/>
              <w:left w:val="single" w:color="BFBFBF" w:sz="1"/>
              <w:bottom w:val="single" w:color="BFBFBF" w:sz="1"/>
              <w:right w:val="single" w:color="BFBFBF" w:sz="1"/>
            </w:tcBorders>
            <w:vAlign w:val="center"/>
          </w:tcPr>
          <w:p>
            <w:pPr>
              <w:pStyle w:val="Default"/>
              <w:spacing w:before="60" w:after="60"/>
            </w:pPr>
            <w:r>
              <w:rPr>
                <w:b/>
                <w:bCs/>
              </w:rPr>
              <w:t xml:space="preserve">Bank and branch</w:t>
            </w:r>
          </w:p>
        </w:tc>
        <w:tc>
          <w:tcPr>
            <w:tcW w:type="pct" w:w="60%"/>
            <w:tcBorders>
              <w:top w:val="single" w:color="BFBFBF" w:sz="1"/>
              <w:left w:val="single" w:color="BFBFBF" w:sz="1"/>
              <w:bottom w:val="single" w:color="BFBFBF" w:sz="1"/>
              <w:right w:val="single" w:color="BFBFBF" w:sz="1"/>
            </w:tcBorders>
            <w:vAlign w:val="center"/>
          </w:tcPr>
          <w:p>
            <w:pPr>
              <w:pStyle w:val="Default"/>
              <w:spacing w:before="60" w:after="60"/>
            </w:pPr>
            <w:r>
              <w:t xml:space="preserve">XYZ Bank Ltd., Indore Main Branch</w:t>
            </w:r>
          </w:p>
        </w:tc>
      </w:tr>
      <w:tr>
        <w:trPr>
          <w:trHeight w:val="431" w:hRule="atLeast"/>
        </w:trPr>
        <w:tc>
          <w:tcPr>
            <w:tcW w:type="pct" w:w="40%"/>
            <w:tcBorders>
              <w:top w:val="single" w:color="BFBFBF" w:sz="1"/>
              <w:left w:val="single" w:color="BFBFBF" w:sz="1"/>
              <w:bottom w:val="single" w:color="BFBFBF" w:sz="1"/>
              <w:right w:val="single" w:color="BFBFBF" w:sz="1"/>
            </w:tcBorders>
            <w:vAlign w:val="center"/>
          </w:tcPr>
          <w:p>
            <w:pPr>
              <w:pStyle w:val="Default"/>
              <w:spacing w:before="60" w:after="60"/>
            </w:pPr>
            <w:r>
              <w:rPr>
                <w:b/>
                <w:bCs/>
              </w:rPr>
              <w:t xml:space="preserve">Proposed facilities</w:t>
            </w:r>
          </w:p>
        </w:tc>
        <w:tc>
          <w:tcPr>
            <w:tcW w:type="pct" w:w="60%"/>
            <w:tcBorders>
              <w:top w:val="single" w:color="BFBFBF" w:sz="1"/>
              <w:left w:val="single" w:color="BFBFBF" w:sz="1"/>
              <w:bottom w:val="single" w:color="BFBFBF" w:sz="1"/>
              <w:right w:val="single" w:color="BFBFBF" w:sz="1"/>
            </w:tcBorders>
            <w:vAlign w:val="center"/>
          </w:tcPr>
          <w:p>
            <w:pPr>
              <w:pStyle w:val="Default"/>
              <w:spacing w:before="60" w:after="60"/>
            </w:pPr>
            <w:r>
              <w:t xml:space="preserve">Cash credit Rs. 19.8 lakh and term loan Rs. 68.4 lakh</w:t>
            </w:r>
          </w:p>
        </w:tc>
      </w:tr>
      <w:tr>
        <w:trPr>
          <w:trHeight w:val="431" w:hRule="atLeast"/>
        </w:trPr>
        <w:tc>
          <w:tcPr>
            <w:tcW w:type="pct" w:w="40%"/>
            <w:tcBorders>
              <w:top w:val="single" w:color="BFBFBF" w:sz="1"/>
              <w:left w:val="single" w:color="BFBFBF" w:sz="1"/>
              <w:bottom w:val="single" w:color="BFBFBF" w:sz="1"/>
              <w:right w:val="single" w:color="BFBFBF" w:sz="1"/>
            </w:tcBorders>
            <w:vAlign w:val="center"/>
          </w:tcPr>
          <w:p>
            <w:pPr>
              <w:pStyle w:val="Default"/>
              <w:spacing w:before="60" w:after="60"/>
            </w:pPr>
            <w:r>
              <w:rPr>
                <w:b/>
                <w:bCs/>
              </w:rPr>
              <w:t xml:space="preserve">Ownership / management</w:t>
            </w:r>
          </w:p>
        </w:tc>
        <w:tc>
          <w:tcPr>
            <w:tcW w:type="pct" w:w="60%"/>
            <w:tcBorders>
              <w:top w:val="single" w:color="BFBFBF" w:sz="1"/>
              <w:left w:val="single" w:color="BFBFBF" w:sz="1"/>
              <w:bottom w:val="single" w:color="BFBFBF" w:sz="1"/>
              <w:right w:val="single" w:color="BFBFBF" w:sz="1"/>
            </w:tcBorders>
            <w:vAlign w:val="center"/>
          </w:tcPr>
          <w:p>
            <w:pPr>
              <w:pStyle w:val="Default"/>
              <w:spacing w:before="60" w:after="60"/>
            </w:pPr>
            <w:r>
              <w:t xml:space="preserve">Aarav Mehta: 50% (director); Neha Kapoor: 50% (director)</w:t>
            </w:r>
          </w:p>
        </w:tc>
      </w:tr>
      <w:tr>
        <w:trPr>
          <w:trHeight w:val="431" w:hRule="atLeast"/>
        </w:trPr>
        <w:tc>
          <w:tcPr>
            <w:tcW w:type="pct" w:w="40%"/>
            <w:tcBorders>
              <w:top w:val="single" w:color="BFBFBF" w:sz="1"/>
              <w:left w:val="single" w:color="BFBFBF" w:sz="1"/>
              <w:bottom w:val="single" w:color="BFBFBF" w:sz="1"/>
              <w:right w:val="single" w:color="BFBFBF" w:sz="1"/>
            </w:tcBorders>
            <w:vAlign w:val="center"/>
          </w:tcPr>
          <w:p>
            <w:pPr>
              <w:pStyle w:val="Default"/>
              <w:spacing w:before="60" w:after="60"/>
            </w:pPr>
            <w:r>
              <w:rPr>
                <w:b/>
                <w:bCs/>
              </w:rPr>
              <w:t xml:space="preserve">Market and operations</w:t>
            </w:r>
          </w:p>
        </w:tc>
        <w:tc>
          <w:tcPr>
            <w:tcW w:type="pct" w:w="60%"/>
            <w:tcBorders>
              <w:top w:val="single" w:color="BFBFBF" w:sz="1"/>
              <w:left w:val="single" w:color="BFBFBF" w:sz="1"/>
              <w:bottom w:val="single" w:color="BFBFBF" w:sz="1"/>
              <w:right w:val="single" w:color="BFBFBF" w:sz="1"/>
            </w:tcBorders>
            <w:vAlign w:val="center"/>
          </w:tcPr>
          <w:p>
            <w:pPr>
              <w:pStyle w:val="Default"/>
              <w:spacing w:before="60" w:after="60"/>
            </w:pPr>
            <w:r>
              <w:t xml:space="preserve">Diversified local customers; documented orders; monthly stock and debtor review.</w:t>
            </w:r>
          </w:p>
        </w:tc>
      </w:tr>
    </w:tbl>
    <w:p>
      <w:pPr>
        <w:spacing w:after="150"/>
      </w:pPr>
    </w:p>
    <w:p>
      <w:pPr>
        <w:pStyle w:val="sectionHeading"/>
        <w:spacing w:after="150" w:before="150"/>
        <w:jc w:val="left"/>
      </w:pPr>
      <w:r>
        <w:t xml:space="preserve">II. Project &amp; Financial Overview</w:t>
      </w:r>
    </w:p>
    <w:tbl>
      <w:tblPr>
        <w:tblW w:type="pct" w:w="90%"/>
        <w:jc w:val="center"/>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rHeight w:val="431" w:hRule="atLeast"/>
        </w:trPr>
        <w:tc>
          <w:tcPr>
            <w:tcW w:type="pct" w:w="40%"/>
            <w:tcBorders>
              <w:top w:val="single" w:color="BFBFBF" w:sz="1"/>
              <w:left w:val="single" w:color="BFBFBF" w:sz="1"/>
              <w:bottom w:val="single" w:color="BFBFBF" w:sz="1"/>
              <w:right w:val="single" w:color="BFBFBF" w:sz="1"/>
            </w:tcBorders>
            <w:vAlign w:val="center"/>
          </w:tcPr>
          <w:p>
            <w:pPr>
              <w:pStyle w:val="Default"/>
              <w:spacing w:before="60" w:after="60"/>
            </w:pPr>
            <w:r>
              <w:rPr>
                <w:b/>
                <w:bCs/>
              </w:rPr>
              <w:t xml:space="preserve">Report Period</w:t>
            </w:r>
          </w:p>
        </w:tc>
        <w:tc>
          <w:tcPr>
            <w:tcW w:type="pct" w:w="60%"/>
            <w:tcBorders>
              <w:top w:val="single" w:color="BFBFBF" w:sz="1"/>
              <w:left w:val="single" w:color="BFBFBF" w:sz="1"/>
              <w:bottom w:val="single" w:color="BFBFBF" w:sz="1"/>
              <w:right w:val="single" w:color="BFBFBF" w:sz="1"/>
            </w:tcBorders>
            <w:vAlign w:val="center"/>
          </w:tcPr>
          <w:p>
            <w:pPr>
              <w:pStyle w:val="Default"/>
              <w:spacing w:before="60" w:after="60"/>
            </w:pPr>
            <w:r>
              <w:t xml:space="preserve">2024 - 2028</w:t>
            </w:r>
          </w:p>
        </w:tc>
      </w:tr>
      <w:tr>
        <w:trPr>
          <w:trHeight w:val="431" w:hRule="atLeast"/>
        </w:trPr>
        <w:tc>
          <w:tcPr>
            <w:tcW w:type="pct" w:w="40%"/>
            <w:tcBorders>
              <w:top w:val="single" w:color="BFBFBF" w:sz="1"/>
              <w:left w:val="single" w:color="BFBFBF" w:sz="1"/>
              <w:bottom w:val="single" w:color="BFBFBF" w:sz="1"/>
              <w:right w:val="single" w:color="BFBFBF" w:sz="1"/>
            </w:tcBorders>
            <w:vAlign w:val="center"/>
          </w:tcPr>
          <w:p>
            <w:pPr>
              <w:pStyle w:val="Default"/>
              <w:spacing w:before="60" w:after="60"/>
            </w:pPr>
            <w:r>
              <w:rPr>
                <w:b/>
                <w:bCs/>
              </w:rPr>
              <w:t xml:space="preserve">Currency</w:t>
            </w:r>
          </w:p>
        </w:tc>
        <w:tc>
          <w:tcPr>
            <w:tcW w:type="pct" w:w="60%"/>
            <w:tcBorders>
              <w:top w:val="single" w:color="BFBFBF" w:sz="1"/>
              <w:left w:val="single" w:color="BFBFBF" w:sz="1"/>
              <w:bottom w:val="single" w:color="BFBFBF" w:sz="1"/>
              <w:right w:val="single" w:color="BFBFBF" w:sz="1"/>
            </w:tcBorders>
            <w:vAlign w:val="center"/>
          </w:tcPr>
          <w:p>
            <w:pPr>
              <w:pStyle w:val="Default"/>
              <w:spacing w:before="60" w:after="60"/>
            </w:pPr>
            <w:r>
              <w:t xml:space="preserve">INR</w:t>
            </w:r>
          </w:p>
        </w:tc>
      </w:tr>
      <w:tr>
        <w:trPr>
          <w:trHeight w:val="431" w:hRule="atLeast"/>
        </w:trPr>
        <w:tc>
          <w:tcPr>
            <w:tcW w:type="pct" w:w="40%"/>
            <w:tcBorders>
              <w:top w:val="single" w:color="BFBFBF" w:sz="1"/>
              <w:left w:val="single" w:color="BFBFBF" w:sz="1"/>
              <w:bottom w:val="single" w:color="BFBFBF" w:sz="1"/>
              <w:right w:val="single" w:color="BFBFBF" w:sz="1"/>
            </w:tcBorders>
            <w:vAlign w:val="center"/>
          </w:tcPr>
          <w:p>
            <w:pPr>
              <w:pStyle w:val="Default"/>
              <w:spacing w:before="60" w:after="60"/>
            </w:pPr>
            <w:r>
              <w:rPr>
                <w:b/>
                <w:bCs/>
              </w:rPr>
              <w:t xml:space="preserve">Amount In</w:t>
            </w:r>
          </w:p>
        </w:tc>
        <w:tc>
          <w:tcPr>
            <w:tcW w:type="pct" w:w="60%"/>
            <w:tcBorders>
              <w:top w:val="single" w:color="BFBFBF" w:sz="1"/>
              <w:left w:val="single" w:color="BFBFBF" w:sz="1"/>
              <w:bottom w:val="single" w:color="BFBFBF" w:sz="1"/>
              <w:right w:val="single" w:color="BFBFBF" w:sz="1"/>
            </w:tcBorders>
            <w:vAlign w:val="center"/>
          </w:tcPr>
          <w:p>
            <w:pPr>
              <w:pStyle w:val="Default"/>
              <w:spacing w:before="60" w:after="60"/>
            </w:pPr>
            <w:r>
              <w:t xml:space="preserve">Actual</w:t>
            </w:r>
          </w:p>
        </w:tc>
      </w:tr>
      <w:tr>
        <w:trPr>
          <w:trHeight w:val="431" w:hRule="atLeast"/>
        </w:trPr>
        <w:tc>
          <w:tcPr>
            <w:tcW w:type="pct" w:w="40%"/>
            <w:tcBorders>
              <w:top w:val="single" w:color="BFBFBF" w:sz="1"/>
              <w:left w:val="single" w:color="BFBFBF" w:sz="1"/>
              <w:bottom w:val="single" w:color="BFBFBF" w:sz="1"/>
              <w:right w:val="single" w:color="BFBFBF" w:sz="1"/>
            </w:tcBorders>
            <w:vAlign w:val="center"/>
          </w:tcPr>
          <w:p>
            <w:pPr>
              <w:pStyle w:val="Default"/>
              <w:spacing w:before="60" w:after="60"/>
            </w:pPr>
            <w:r>
              <w:rPr>
                <w:b/>
                <w:bCs/>
              </w:rPr>
              <w:t xml:space="preserve">Total Project Cost</w:t>
            </w:r>
          </w:p>
        </w:tc>
        <w:tc>
          <w:tcPr>
            <w:tcW w:type="pct" w:w="60%"/>
            <w:tcBorders>
              <w:top w:val="single" w:color="BFBFBF" w:sz="1"/>
              <w:left w:val="single" w:color="BFBFBF" w:sz="1"/>
              <w:bottom w:val="single" w:color="BFBFBF" w:sz="1"/>
              <w:right w:val="single" w:color="BFBFBF" w:sz="1"/>
            </w:tcBorders>
            <w:vAlign w:val="center"/>
          </w:tcPr>
          <w:p>
            <w:pPr>
              <w:pStyle w:val="Default"/>
              <w:spacing w:before="60" w:after="60"/>
            </w:pPr>
            <w:r>
              <w:t xml:space="preserve">INR 1,99,80,000.00</w:t>
            </w:r>
          </w:p>
        </w:tc>
      </w:tr>
      <w:tr>
        <w:trPr>
          <w:trHeight w:val="431" w:hRule="atLeast"/>
        </w:trPr>
        <w:tc>
          <w:tcPr>
            <w:tcW w:type="pct" w:w="40%"/>
            <w:tcBorders>
              <w:top w:val="single" w:color="BFBFBF" w:sz="1"/>
              <w:left w:val="single" w:color="BFBFBF" w:sz="1"/>
              <w:bottom w:val="single" w:color="BFBFBF" w:sz="1"/>
              <w:right w:val="single" w:color="BFBFBF" w:sz="1"/>
            </w:tcBorders>
            <w:vAlign w:val="center"/>
          </w:tcPr>
          <w:p>
            <w:pPr>
              <w:pStyle w:val="Default"/>
              <w:spacing w:before="60" w:after="60"/>
            </w:pPr>
            <w:r>
              <w:rPr>
                <w:b/>
                <w:bCs/>
              </w:rPr>
              <w:t xml:space="preserve">Term Loan Bank</w:t>
            </w:r>
          </w:p>
        </w:tc>
        <w:tc>
          <w:tcPr>
            <w:tcW w:type="pct" w:w="60%"/>
            <w:tcBorders>
              <w:top w:val="single" w:color="BFBFBF" w:sz="1"/>
              <w:left w:val="single" w:color="BFBFBF" w:sz="1"/>
              <w:bottom w:val="single" w:color="BFBFBF" w:sz="1"/>
              <w:right w:val="single" w:color="BFBFBF" w:sz="1"/>
            </w:tcBorders>
            <w:vAlign w:val="center"/>
          </w:tcPr>
          <w:p>
            <w:pPr>
              <w:pStyle w:val="Default"/>
              <w:spacing w:before="60" w:after="60"/>
            </w:pPr>
            <w:r>
              <w:t xml:space="preserve">XYZ Bank Ltd.</w:t>
            </w:r>
          </w:p>
        </w:tc>
      </w:tr>
      <w:tr>
        <w:trPr>
          <w:trHeight w:val="431" w:hRule="atLeast"/>
        </w:trPr>
        <w:tc>
          <w:tcPr>
            <w:tcW w:type="pct" w:w="40%"/>
            <w:tcBorders>
              <w:top w:val="single" w:color="BFBFBF" w:sz="1"/>
              <w:left w:val="single" w:color="BFBFBF" w:sz="1"/>
              <w:bottom w:val="single" w:color="BFBFBF" w:sz="1"/>
              <w:right w:val="single" w:color="BFBFBF" w:sz="1"/>
            </w:tcBorders>
            <w:vAlign w:val="center"/>
          </w:tcPr>
          <w:p>
            <w:pPr>
              <w:pStyle w:val="Default"/>
              <w:spacing w:before="60" w:after="60"/>
            </w:pPr>
            <w:r>
              <w:rPr>
                <w:b/>
                <w:bCs/>
              </w:rPr>
              <w:t xml:space="preserve">Term Loan</w:t>
            </w:r>
          </w:p>
        </w:tc>
        <w:tc>
          <w:tcPr>
            <w:tcW w:type="pct" w:w="60%"/>
            <w:tcBorders>
              <w:top w:val="single" w:color="BFBFBF" w:sz="1"/>
              <w:left w:val="single" w:color="BFBFBF" w:sz="1"/>
              <w:bottom w:val="single" w:color="BFBFBF" w:sz="1"/>
              <w:right w:val="single" w:color="BFBFBF" w:sz="1"/>
            </w:tcBorders>
            <w:vAlign w:val="center"/>
          </w:tcPr>
          <w:p>
            <w:pPr>
              <w:pStyle w:val="Default"/>
              <w:spacing w:before="60" w:after="60"/>
            </w:pPr>
            <w:r>
              <w:t xml:space="preserve">INR 68,40,000.00</w:t>
            </w:r>
          </w:p>
        </w:tc>
      </w:tr>
      <w:tr>
        <w:trPr>
          <w:trHeight w:val="431" w:hRule="atLeast"/>
        </w:trPr>
        <w:tc>
          <w:tcPr>
            <w:tcW w:type="pct" w:w="40%"/>
            <w:tcBorders>
              <w:top w:val="single" w:color="BFBFBF" w:sz="1"/>
              <w:left w:val="single" w:color="BFBFBF" w:sz="1"/>
              <w:bottom w:val="single" w:color="BFBFBF" w:sz="1"/>
              <w:right w:val="single" w:color="BFBFBF" w:sz="1"/>
            </w:tcBorders>
            <w:vAlign w:val="center"/>
          </w:tcPr>
          <w:p>
            <w:pPr>
              <w:pStyle w:val="Default"/>
              <w:spacing w:before="60" w:after="60"/>
            </w:pPr>
            <w:r>
              <w:rPr>
                <w:b/>
                <w:bCs/>
              </w:rPr>
              <w:t xml:space="preserve">Term Loan Interest Rate (%)</w:t>
            </w:r>
          </w:p>
        </w:tc>
        <w:tc>
          <w:tcPr>
            <w:tcW w:type="pct" w:w="60%"/>
            <w:tcBorders>
              <w:top w:val="single" w:color="BFBFBF" w:sz="1"/>
              <w:left w:val="single" w:color="BFBFBF" w:sz="1"/>
              <w:bottom w:val="single" w:color="BFBFBF" w:sz="1"/>
              <w:right w:val="single" w:color="BFBFBF" w:sz="1"/>
            </w:tcBorders>
            <w:vAlign w:val="center"/>
          </w:tcPr>
          <w:p>
            <w:pPr>
              <w:pStyle w:val="Default"/>
              <w:spacing w:before="60" w:after="60"/>
            </w:pPr>
            <w:r>
              <w:t xml:space="preserve">9.5%</w:t>
            </w:r>
          </w:p>
        </w:tc>
      </w:tr>
      <w:tr>
        <w:trPr>
          <w:trHeight w:val="431" w:hRule="atLeast"/>
        </w:trPr>
        <w:tc>
          <w:tcPr>
            <w:tcW w:type="pct" w:w="40%"/>
            <w:tcBorders>
              <w:top w:val="single" w:color="BFBFBF" w:sz="1"/>
              <w:left w:val="single" w:color="BFBFBF" w:sz="1"/>
              <w:bottom w:val="single" w:color="BFBFBF" w:sz="1"/>
              <w:right w:val="single" w:color="BFBFBF" w:sz="1"/>
            </w:tcBorders>
            <w:vAlign w:val="center"/>
          </w:tcPr>
          <w:p>
            <w:pPr>
              <w:pStyle w:val="Default"/>
              <w:spacing w:before="60" w:after="60"/>
            </w:pPr>
            <w:r>
              <w:rPr>
                <w:b/>
                <w:bCs/>
              </w:rPr>
              <w:t xml:space="preserve">Term Loan Installment (monthly)</w:t>
            </w:r>
          </w:p>
        </w:tc>
        <w:tc>
          <w:tcPr>
            <w:tcW w:type="pct" w:w="60%"/>
            <w:tcBorders>
              <w:top w:val="single" w:color="BFBFBF" w:sz="1"/>
              <w:left w:val="single" w:color="BFBFBF" w:sz="1"/>
              <w:bottom w:val="single" w:color="BFBFBF" w:sz="1"/>
              <w:right w:val="single" w:color="BFBFBF" w:sz="1"/>
            </w:tcBorders>
            <w:vAlign w:val="center"/>
          </w:tcPr>
          <w:p>
            <w:pPr>
              <w:pStyle w:val="Default"/>
              <w:spacing w:before="60" w:after="60"/>
            </w:pPr>
            <w:r>
              <w:t xml:space="preserve">INR 1,43,652.73</w:t>
            </w:r>
          </w:p>
        </w:tc>
      </w:tr>
      <w:tr>
        <w:trPr>
          <w:trHeight w:val="431" w:hRule="atLeast"/>
        </w:trPr>
        <w:tc>
          <w:tcPr>
            <w:tcW w:type="pct" w:w="40%"/>
            <w:tcBorders>
              <w:top w:val="single" w:color="BFBFBF" w:sz="1"/>
              <w:left w:val="single" w:color="BFBFBF" w:sz="1"/>
              <w:bottom w:val="single" w:color="BFBFBF" w:sz="1"/>
              <w:right w:val="single" w:color="BFBFBF" w:sz="1"/>
            </w:tcBorders>
            <w:vAlign w:val="center"/>
          </w:tcPr>
          <w:p>
            <w:pPr>
              <w:pStyle w:val="Default"/>
              <w:spacing w:before="60" w:after="60"/>
            </w:pPr>
            <w:r>
              <w:rPr>
                <w:b/>
                <w:bCs/>
              </w:rPr>
              <w:t xml:space="preserve">Repayment Frequency</w:t>
            </w:r>
          </w:p>
        </w:tc>
        <w:tc>
          <w:tcPr>
            <w:tcW w:type="pct" w:w="60%"/>
            <w:tcBorders>
              <w:top w:val="single" w:color="BFBFBF" w:sz="1"/>
              <w:left w:val="single" w:color="BFBFBF" w:sz="1"/>
              <w:bottom w:val="single" w:color="BFBFBF" w:sz="1"/>
              <w:right w:val="single" w:color="BFBFBF" w:sz="1"/>
            </w:tcBorders>
            <w:vAlign w:val="center"/>
          </w:tcPr>
          <w:p>
            <w:pPr>
              <w:pStyle w:val="Default"/>
              <w:spacing w:before="60" w:after="60"/>
            </w:pPr>
            <w:r>
              <w:t xml:space="preserve">Monthly</w:t>
            </w:r>
          </w:p>
        </w:tc>
      </w:tr>
      <w:tr>
        <w:trPr>
          <w:trHeight w:val="431" w:hRule="atLeast"/>
        </w:trPr>
        <w:tc>
          <w:tcPr>
            <w:tcW w:type="pct" w:w="40%"/>
            <w:tcBorders>
              <w:top w:val="single" w:color="BFBFBF" w:sz="1"/>
              <w:left w:val="single" w:color="BFBFBF" w:sz="1"/>
              <w:bottom w:val="single" w:color="BFBFBF" w:sz="1"/>
              <w:right w:val="single" w:color="BFBFBF" w:sz="1"/>
            </w:tcBorders>
            <w:vAlign w:val="center"/>
          </w:tcPr>
          <w:p>
            <w:pPr>
              <w:pStyle w:val="Default"/>
              <w:spacing w:before="60" w:after="60"/>
            </w:pPr>
            <w:r>
              <w:rPr>
                <w:b/>
                <w:bCs/>
              </w:rPr>
              <w:t xml:space="preserve">WC (CC/OD) Bank</w:t>
            </w:r>
          </w:p>
        </w:tc>
        <w:tc>
          <w:tcPr>
            <w:tcW w:type="pct" w:w="60%"/>
            <w:tcBorders>
              <w:top w:val="single" w:color="BFBFBF" w:sz="1"/>
              <w:left w:val="single" w:color="BFBFBF" w:sz="1"/>
              <w:bottom w:val="single" w:color="BFBFBF" w:sz="1"/>
              <w:right w:val="single" w:color="BFBFBF" w:sz="1"/>
            </w:tcBorders>
            <w:vAlign w:val="center"/>
          </w:tcPr>
          <w:p>
            <w:pPr>
              <w:pStyle w:val="Default"/>
              <w:spacing w:before="60" w:after="60"/>
            </w:pPr>
            <w:r>
              <w:t xml:space="preserve">XYZ Bank Ltd.</w:t>
            </w:r>
          </w:p>
        </w:tc>
      </w:tr>
      <w:tr>
        <w:trPr>
          <w:trHeight w:val="431" w:hRule="atLeast"/>
        </w:trPr>
        <w:tc>
          <w:tcPr>
            <w:tcW w:type="pct" w:w="40%"/>
            <w:tcBorders>
              <w:top w:val="single" w:color="BFBFBF" w:sz="1"/>
              <w:left w:val="single" w:color="BFBFBF" w:sz="1"/>
              <w:bottom w:val="single" w:color="BFBFBF" w:sz="1"/>
              <w:right w:val="single" w:color="BFBFBF" w:sz="1"/>
            </w:tcBorders>
            <w:vAlign w:val="center"/>
          </w:tcPr>
          <w:p>
            <w:pPr>
              <w:pStyle w:val="Default"/>
              <w:spacing w:before="60" w:after="60"/>
            </w:pPr>
            <w:r>
              <w:rPr>
                <w:b/>
                <w:bCs/>
              </w:rPr>
              <w:t xml:space="preserve">Working Capital Loan</w:t>
            </w:r>
          </w:p>
        </w:tc>
        <w:tc>
          <w:tcPr>
            <w:tcW w:type="pct" w:w="60%"/>
            <w:tcBorders>
              <w:top w:val="single" w:color="BFBFBF" w:sz="1"/>
              <w:left w:val="single" w:color="BFBFBF" w:sz="1"/>
              <w:bottom w:val="single" w:color="BFBFBF" w:sz="1"/>
              <w:right w:val="single" w:color="BFBFBF" w:sz="1"/>
            </w:tcBorders>
            <w:vAlign w:val="center"/>
          </w:tcPr>
          <w:p>
            <w:pPr>
              <w:pStyle w:val="Default"/>
              <w:spacing w:before="60" w:after="60"/>
            </w:pPr>
            <w:r>
              <w:t xml:space="preserve">INR 19,80,000.00</w:t>
            </w:r>
          </w:p>
        </w:tc>
      </w:tr>
      <w:tr>
        <w:trPr>
          <w:trHeight w:val="431" w:hRule="atLeast"/>
        </w:trPr>
        <w:tc>
          <w:tcPr>
            <w:tcW w:type="pct" w:w="40%"/>
            <w:tcBorders>
              <w:top w:val="single" w:color="BFBFBF" w:sz="1"/>
              <w:left w:val="single" w:color="BFBFBF" w:sz="1"/>
              <w:bottom w:val="single" w:color="BFBFBF" w:sz="1"/>
              <w:right w:val="single" w:color="BFBFBF" w:sz="1"/>
            </w:tcBorders>
            <w:vAlign w:val="center"/>
          </w:tcPr>
          <w:p>
            <w:pPr>
              <w:pStyle w:val="Default"/>
              <w:spacing w:before="60" w:after="60"/>
            </w:pPr>
            <w:r>
              <w:rPr>
                <w:b/>
                <w:bCs/>
              </w:rPr>
              <w:t xml:space="preserve">WC Loan Interest Rate (%)</w:t>
            </w:r>
          </w:p>
        </w:tc>
        <w:tc>
          <w:tcPr>
            <w:tcW w:type="pct" w:w="60%"/>
            <w:tcBorders>
              <w:top w:val="single" w:color="BFBFBF" w:sz="1"/>
              <w:left w:val="single" w:color="BFBFBF" w:sz="1"/>
              <w:bottom w:val="single" w:color="BFBFBF" w:sz="1"/>
              <w:right w:val="single" w:color="BFBFBF" w:sz="1"/>
            </w:tcBorders>
            <w:vAlign w:val="center"/>
          </w:tcPr>
          <w:p>
            <w:pPr>
              <w:pStyle w:val="Default"/>
              <w:spacing w:before="60" w:after="60"/>
            </w:pPr>
            <w:r>
              <w:t xml:space="preserve">10%</w:t>
            </w:r>
          </w:p>
        </w:tc>
      </w:tr>
      <w:tr>
        <w:trPr>
          <w:trHeight w:val="431" w:hRule="atLeast"/>
        </w:trPr>
        <w:tc>
          <w:tcPr>
            <w:tcW w:type="pct" w:w="40%"/>
            <w:tcBorders>
              <w:top w:val="single" w:color="BFBFBF" w:sz="1"/>
              <w:left w:val="single" w:color="BFBFBF" w:sz="1"/>
              <w:bottom w:val="single" w:color="BFBFBF" w:sz="1"/>
              <w:right w:val="single" w:color="BFBFBF" w:sz="1"/>
            </w:tcBorders>
            <w:vAlign w:val="center"/>
          </w:tcPr>
          <w:p>
            <w:pPr>
              <w:pStyle w:val="Default"/>
              <w:spacing w:before="60" w:after="60"/>
            </w:pPr>
            <w:r>
              <w:rPr>
                <w:b/>
                <w:bCs/>
              </w:rPr>
              <w:t xml:space="preserve">Own Contribution</w:t>
            </w:r>
          </w:p>
        </w:tc>
        <w:tc>
          <w:tcPr>
            <w:tcW w:type="pct" w:w="60%"/>
            <w:tcBorders>
              <w:top w:val="single" w:color="BFBFBF" w:sz="1"/>
              <w:left w:val="single" w:color="BFBFBF" w:sz="1"/>
              <w:bottom w:val="single" w:color="BFBFBF" w:sz="1"/>
              <w:right w:val="single" w:color="BFBFBF" w:sz="1"/>
            </w:tcBorders>
            <w:vAlign w:val="center"/>
          </w:tcPr>
          <w:p>
            <w:pPr>
              <w:pStyle w:val="Default"/>
              <w:spacing w:before="60" w:after="60"/>
            </w:pPr>
            <w:r>
              <w:t xml:space="preserve">INR 1,11,60,000.00</w:t>
            </w:r>
          </w:p>
        </w:tc>
      </w:tr>
    </w:tbl>
    <w:p>
      <w:pPr>
        <w:spacing w:after="200"/>
      </w:pPr>
    </w:p>
    <w:p>
      <w:r>
        <w:br w:type="page"/>
      </w:r>
    </w:p>
    <w:p>
      <w:pPr>
        <w:pStyle w:val="sectionHeading"/>
        <w:spacing w:after="200" w:before="400"/>
        <w:jc w:val="center"/>
      </w:pPr>
      <w:r>
        <w:t xml:space="preserve">Introduction</w:t>
      </w:r>
    </w:p>
    <w:p>
      <w:pPr>
        <w:pStyle w:val="Default"/>
        <w:spacing w:after="120"/>
        <w:jc w:val="both"/>
      </w:pPr>
      <w:r>
        <w:t xml:space="preserve">FINXORA PACKAGING PRIVATE LIMITED operates a corrugated box manufacturing business in Indore, Madhya Pradesh. The proposal covers renewal of cash credit and continued servicing of asset finance, supported by the historical, provisional and projected periods identified in the schedules. The company manufactures three-ply and five-ply corrugated boxes, printed cartons and protective inserts. Orders are specified by board strength, dimensions and print requirements; pricing is based on paper consumption, conversion costs and the agreed delivery schedule. Repeat institutional orders provide the core revenue stream, with smaller customised orders filling available machine time.</w:t>
      </w:r>
    </w:p>
    <w:p>
      <w:pPr>
        <w:pStyle w:val="Default"/>
        <w:spacing w:after="120"/>
        <w:jc w:val="both"/>
      </w:pPr>
      <w:r>
        <w:t xml:space="preserve">Local manufacturing activity and demand for transport-ready packaging support repeat orders. Short delivery distances allow smaller replenishment batches and faster response to specification changes. Management will prioritise repeat customers with reliable payment behaviour rather than accept low-margin volume that consumes disproportionate working capital.</w:t>
      </w:r>
    </w:p>
    <w:p>
      <w:pPr>
        <w:pStyle w:val="Default"/>
        <w:spacing w:after="120"/>
        <w:jc w:val="both"/>
      </w:pPr>
      <w:r>
        <w:t xml:space="preserve">The funding schedule provides a total outlay of Rs. 199.80 lakh, promoter contribution of Rs. 111.60 lakh, term finance of Rs. 68.40 lakh and cash credit of Rs. 19.80 lakh. The term facility is modelled at 9.5% over five years; working-capital interest is modelled at 10%. Security documentation and final repayment terms remain subject to the bank's appraisal and sanction. For the first reporting year, FY 2024-25, the computed schedules show sales of Rs. 360.00 lakh and net profit of Rs. 38.17 lakh. The first-year current ratio is 1.91 times and the arithmetic average of the annual DSCR values in the repayment schedule is 4.24 times. Final-year sales are Rs. 489.78 lakh with net profit of Rs. 68.76 lakh; these highlights reproduce the report's calculations rather than a separate earnings estimate.</w:t>
      </w:r>
    </w:p>
    <w:p>
      <w:pPr>
        <w:spacing w:after="200"/>
      </w:pPr>
    </w:p>
    <w:p>
      <w:pPr>
        <w:pStyle w:val="sectionHeading"/>
        <w:spacing w:after="200" w:before="400"/>
        <w:jc w:val="center"/>
      </w:pPr>
      <w:r>
        <w:t xml:space="preserve">Management and Expertise</w:t>
      </w:r>
    </w:p>
    <w:p>
      <w:pPr>
        <w:pStyle w:val="Default"/>
        <w:spacing w:after="120"/>
        <w:jc w:val="both"/>
      </w:pPr>
      <w:r>
        <w:t xml:space="preserve">Aarav Mehta brings twelve years of experience in corrugated packaging procurement and production planning. Neha Kapoor oversees accounts, costing and customer collections, drawing on eight years of commercial administration. The directors divide responsibility between shop-floor delivery and financial control, with major capital purchases requiring joint approval.</w:t>
      </w:r>
    </w:p>
    <w:p>
      <w:pPr>
        <w:pStyle w:val="Default"/>
        <w:spacing w:after="120"/>
        <w:jc w:val="both"/>
      </w:pPr>
      <w:r>
        <w:t xml:space="preserve">The staffing plan provides for twenty-two production and handling employees and six staff in supervision, sales and administration. A production supervisor coordinates preventive maintenance and safety training. Supplier arrangements for kraft paper are spread across more than one mill or distributor to reduce interruption risk; reorder levels are reviewed alongside bank drawing power. Responsibilities should be supported by written authority limits for purchases, customer credit and payments. Bank reconciliations and statutory compliance are to be reviewed monthly, and changes in key personnel should be accompanied by a documented handover.</w:t>
      </w:r>
    </w:p>
    <w:p>
      <w:pPr>
        <w:pStyle w:val="Default"/>
        <w:spacing w:after="120"/>
        <w:jc w:val="both"/>
      </w:pPr>
      <w:r>
        <w:t xml:space="preserve">Incoming kraft paper is checked for grade, moisture and visible damage. Finished cartons are inspected for dimensions, compression strength, print alignment and joint integrity before dispatch. Rejected output is recorded and scrap is sold through documented invoices; recurring defects trigger a review of machine settings and operator training. The reporting plan calls for consistent accounting policies, periodic physical verification and management review of exceptions. Forecast growth is an operating target and should be measured against demonstrated execution rather than treated as an assured result.</w:t>
      </w:r>
    </w:p>
    <w:p>
      <w:pPr>
        <w:spacing w:after="200"/>
      </w:pPr>
    </w:p>
    <w:p>
      <w:pPr>
        <w:pStyle w:val="sectionHeading"/>
        <w:spacing w:after="200" w:before="400"/>
        <w:jc w:val="center"/>
      </w:pPr>
      <w:r>
        <w:t xml:space="preserve">Operational Plan</w:t>
      </w:r>
    </w:p>
    <w:p>
      <w:pPr>
        <w:pStyle w:val="Default"/>
        <w:spacing w:after="120"/>
        <w:jc w:val="both"/>
      </w:pPr>
      <w:r>
        <w:t xml:space="preserve">The unit at Plot 12, Industrial Area, Indore uses corrugation, slotting, printing and stitching equipment with provision for adhesive finishing. The operating plan is based on one regular production shift, with overtime used only against confirmed orders. Paper storage is segregated from finished cartons, and daily production sheets record input weight, usable output, rejects and dispatches.</w:t>
      </w:r>
    </w:p>
    <w:p>
      <w:pPr>
        <w:pStyle w:val="Default"/>
        <w:spacing w:after="120"/>
        <w:jc w:val="both"/>
      </w:pPr>
      <w:r>
        <w:t xml:space="preserve">The staffing plan provides for twenty-two production and handling employees and six staff in supervision, sales and administration. A production supervisor coordinates preventive maintenance and safety training. Supplier arrangements for kraft paper are spread across more than one mill or distributor to reduce interruption risk; reorder levels are reviewed alongside bank drawing power.</w:t>
      </w:r>
    </w:p>
    <w:p>
      <w:pPr>
        <w:pStyle w:val="Default"/>
        <w:spacing w:after="120"/>
        <w:jc w:val="both"/>
      </w:pPr>
      <w:r>
        <w:t xml:space="preserve">The company manufactures three-ply and five-ply corrugated boxes, printed cartons and protective inserts. Orders are specified by board strength, dimensions and print requirements; pricing is based on paper consumption, conversion costs and the agreed delivery schedule. Repeat institutional orders provide the core revenue stream, with smaller customised orders filling available machine time. Monthly management review should compare orders, realised prices, direct costs and collections with the financial schedules. Stock and debtor statements must reconcile with the books before submission to the bank. Any adverse movement in margin or overdue accounts should lead to a revised cash-flow forecast and corrective action before additional credit commitments are accepted.</w:t>
      </w:r>
    </w:p>
    <w:p>
      <w:pPr>
        <w:spacing w:after="200"/>
      </w:pPr>
    </w:p>
    <w:p>
      <w:pPr>
        <w:pStyle w:val="sectionHeading"/>
        <w:spacing w:after="200" w:before="400"/>
        <w:jc w:val="center"/>
      </w:pPr>
      <w:r>
        <w:t xml:space="preserve">Market Analysis and Opportunity</w:t>
      </w:r>
    </w:p>
    <w:p>
      <w:pPr>
        <w:pStyle w:val="Default"/>
        <w:spacing w:after="120"/>
        <w:jc w:val="both"/>
      </w:pPr>
      <w:r>
        <w:t xml:space="preserve">Target customers include food processors, pharmaceutical distributors, engineering suppliers and consumer-goods manufacturers in the Indore industrial belt. The sales plan avoids dependence on a single buyer by maintaining separate customer groups and setting account-wise credit limits. Dispatch is supported by purchase orders and signed delivery records, while disputed invoices are reviewed separately from routine collections.</w:t>
      </w:r>
    </w:p>
    <w:p>
      <w:pPr>
        <w:pStyle w:val="Default"/>
        <w:spacing w:after="120"/>
        <w:jc w:val="both"/>
      </w:pPr>
      <w:r>
        <w:t xml:space="preserve">Local manufacturing activity and demand for transport-ready packaging support repeat orders. Short delivery distances allow smaller replenishment batches and faster response to specification changes. Management will prioritise repeat customers with reliable payment behaviour rather than accept low-margin volume that consumes disproportionate working capital.</w:t>
      </w:r>
    </w:p>
    <w:p>
      <w:pPr>
        <w:pStyle w:val="Default"/>
        <w:spacing w:after="120"/>
        <w:jc w:val="both"/>
      </w:pPr>
      <w:r>
        <w:t xml:space="preserve">The forecast assumes disciplined expansion of existing product and service lines, supported by the annual growth and collection assumptions in the schedules. Local competition, customer bargaining power and input-cost changes require regular review of quotations. Before expanding into another territory or customer group, management should compare incremental gross contribution with delivery, staffing and credit costs and retain only business that supports the repayment plan.</w:t>
      </w:r>
    </w:p>
    <w:p>
      <w:pPr>
        <w:spacing w:after="200"/>
      </w:pPr>
    </w:p>
    <w:p>
      <w:pPr>
        <w:pStyle w:val="sectionHeading"/>
        <w:spacing w:after="200" w:before="400"/>
        <w:jc w:val="center"/>
      </w:pPr>
      <w:r>
        <w:t xml:space="preserve">Quality Assurance and Control</w:t>
      </w:r>
    </w:p>
    <w:p>
      <w:pPr>
        <w:pStyle w:val="Default"/>
        <w:spacing w:after="120"/>
        <w:jc w:val="both"/>
      </w:pPr>
      <w:r>
        <w:t xml:space="preserve">Incoming kraft paper is checked for grade, moisture and visible damage. Finished cartons are inspected for dimensions, compression strength, print alignment and joint integrity before dispatch. Rejected output is recorded and scrap is sold through documented invoices; recurring defects trigger a review of machine settings and operator training.</w:t>
      </w:r>
    </w:p>
    <w:p>
      <w:pPr>
        <w:pStyle w:val="Default"/>
        <w:spacing w:after="120"/>
        <w:jc w:val="both"/>
      </w:pPr>
      <w:r>
        <w:t xml:space="preserve">The unit at Plot 12, Industrial Area, Indore uses corrugation, slotting, printing and stitching equipment with provision for adhesive finishing. The operating plan is based on one regular production shift, with overtime used only against confirmed orders. Paper storage is segregated from finished cartons, and daily production sheets record input weight, usable output, rejects and dispatches. Operating records should link purchases or inputs to completed output and customer billing, allowing exceptions to be traced promptly. Responsibility for acceptance checks, stock custody and payment approval should be separated wherever staffing permits.</w:t>
      </w:r>
    </w:p>
    <w:p>
      <w:pPr>
        <w:pStyle w:val="Default"/>
        <w:spacing w:after="120"/>
        <w:jc w:val="both"/>
      </w:pPr>
      <w:r>
        <w:t xml:space="preserve">Management should retain supplier documents, maintenance records, customer complaints and corrective-action logs. Quality controls are intended to prevent avoidable returns and interruption as well as meet customer specifications. Periodic review of losses, rework and complaints should feed into costing and training; certifications or approvals should be claimed only after the applicable requirements have been met.</w:t>
      </w:r>
    </w:p>
    <w:p>
      <w:pPr>
        <w:spacing w:after="200"/>
      </w:pPr>
    </w:p>
    <w:p>
      <w:pPr>
        <w:pStyle w:val="sectionHeading"/>
        <w:spacing w:after="200" w:before="400"/>
        <w:jc w:val="center"/>
      </w:pPr>
      <w:r>
        <w:t xml:space="preserve">Risk Assessment and Mitigation</w:t>
      </w:r>
    </w:p>
    <w:p>
      <w:pPr>
        <w:pStyle w:val="Default"/>
        <w:spacing w:after="120"/>
        <w:jc w:val="both"/>
      </w:pPr>
      <w:r>
        <w:t xml:space="preserve">Kraft-paper price volatility and delayed institutional collections are the principal risks. Short quotation validity, paper-grade alternatives agreed with customers and periodic price revision protect contribution margins. Customer concentration is controlled through exposure limits; fire precautions, insurance and preventive maintenance address stock and production interruption risks.</w:t>
      </w:r>
    </w:p>
    <w:p>
      <w:pPr>
        <w:pStyle w:val="Default"/>
        <w:spacing w:after="120"/>
        <w:jc w:val="both"/>
      </w:pPr>
      <w:r>
        <w:t xml:space="preserve">Local manufacturing activity and demand for transport-ready packaging support repeat orders. Short delivery distances allow smaller replenishment batches and faster response to specification changes. Management will prioritise repeat customers with reliable payment behaviour rather than accept low-margin volume that consumes disproportionate working capital. These strengths are balanced by the need to manage utilisation, cost discipline and collection performance. The projection should be stress-tested for lower sales, higher input prices and a longer collection cycle, with repayment reviewed against the resulting cash accruals rather than solely against the base-case margin.</w:t>
      </w:r>
    </w:p>
    <w:p>
      <w:pPr>
        <w:pStyle w:val="Default"/>
        <w:spacing w:after="120"/>
        <w:jc w:val="both"/>
      </w:pPr>
      <w:r>
        <w:t xml:space="preserve">Repayment capacity is assessed from operating cash accruals after the scheduled interest charge and with principal obligations considered in the debt-service schedule. Accounting profit alone does not establish available bank cash: inventory growth, receivable delays and capital expenditure can absorb accruals. Management should maintain a rolling cash forecast and reserve funds for instalments before discretionary expenditure or distributions. Insurance, supplier continuity arrangements and timely statutory renewals should be reviewed annually. The bank should receive prompt explanations for material deviations from the sanctioned operating assumptions.</w:t>
      </w:r>
    </w:p>
    <w:p>
      <w:pPr>
        <w:spacing w:after="200"/>
      </w:pPr>
    </w:p>
    <w:p>
      <w:pPr>
        <w:pStyle w:val="sectionHeading"/>
        <w:spacing w:after="200" w:before="400"/>
        <w:jc w:val="center"/>
      </w:pPr>
      <w:r>
        <w:t xml:space="preserve">Financial Analysis</w:t>
      </w:r>
    </w:p>
    <w:p>
      <w:pPr>
        <w:pStyle w:val="Default"/>
        <w:spacing w:after="120"/>
        <w:jc w:val="both"/>
      </w:pPr>
      <w:r>
        <w:t xml:space="preserve">For the first reporting year, FY 2024-25, the computed schedules show sales of Rs. 360.00 lakh and net profit of Rs. 38.17 lakh. The first-year current ratio is 1.91 times and the arithmetic average of the annual DSCR values in the repayment schedule is 4.24 times. Final-year sales are Rs. 489.78 lakh with net profit of Rs. 68.76 lakh; these highlights reproduce the report's calculations rather than a separate earnings estimate.</w:t>
      </w:r>
    </w:p>
    <w:p>
      <w:pPr>
        <w:pStyle w:val="Default"/>
        <w:spacing w:after="120"/>
        <w:jc w:val="both"/>
      </w:pPr>
      <w:r>
        <w:t xml:space="preserve">The funding schedule provides a total outlay of Rs. 199.80 lakh, promoter contribution of Rs. 111.60 lakh, term finance of Rs. 68.40 lakh and cash credit of Rs. 19.80 lakh. The term facility is modelled at 9.5% over five years; working-capital interest is modelled at 10%. Security documentation and final repayment terms remain subject to the bank's appraisal and sanction.</w:t>
      </w:r>
    </w:p>
    <w:p>
      <w:pPr>
        <w:pStyle w:val="Default"/>
        <w:spacing w:after="120"/>
        <w:jc w:val="both"/>
      </w:pPr>
      <w:r>
        <w:t xml:space="preserve">Repayment capacity is assessed from operating cash accruals after the scheduled interest charge and with principal obligations considered in the debt-service schedule. Accounting profit alone does not establish available bank cash: inventory growth, receivable delays and capital expenditure can absorb accruals. Management should maintain a rolling cash forecast and reserve funds for instalments before discretionary expenditure or distributions. Monthly management review should compare orders, realised prices, direct costs and collections with the financial schedules. Stock and debtor statements must reconcile with the books before submission to the bank. Any adverse movement in margin or overdue accounts should lead to a revised cash-flow forecast and corrective action before additional credit commitments are accepted.</w:t>
      </w:r>
    </w:p>
    <w:p>
      <w:pPr>
        <w:spacing w:after="200"/>
      </w:pPr>
    </w:p>
    <w:p>
      <w:pPr>
        <w:pStyle w:val="sectionHeading"/>
        <w:spacing w:after="200" w:before="400"/>
        <w:jc w:val="center"/>
      </w:pPr>
      <w:r>
        <w:t xml:space="preserve">Conclusion and Recommendations</w:t>
      </w:r>
    </w:p>
    <w:p>
      <w:pPr>
        <w:pStyle w:val="Default"/>
        <w:spacing w:after="120"/>
        <w:jc w:val="both"/>
      </w:pPr>
      <w:r>
        <w:t xml:space="preserve">FINXORA PACKAGING PRIVATE LIMITED's proposal connects corrugated box manufacturing activity with an identified operating plan, a defined promoter contribution and scheduled bank finance. Local manufacturing activity and demand for transport-ready packaging support repeat orders. Short delivery distances allow smaller replenishment batches and faster response to specification changes. Management will prioritise repeat customers with reliable payment behaviour rather than accept low-margin volume that consumes disproportionate working capital. The computed liquidity and debt-service indicators support consideration of the proposal under the stated assumptions; they should be read with the detailed operating, balance-sheet and repayment schedules.</w:t>
      </w:r>
    </w:p>
    <w:p>
      <w:pPr>
        <w:pStyle w:val="Default"/>
        <w:spacing w:after="120"/>
        <w:jc w:val="both"/>
      </w:pPr>
      <w:r>
        <w:t xml:space="preserve">Kraft-paper price volatility and delayed institutional collections are the principal risks. Short quotation validity, paper-grade alternatives agreed with customers and periodic price revision protect contribution margins. Customer concentration is controlled through exposure limits; fire precautions, insurance and preventive maintenance address stock and production interruption risks. Prior to sanction or renewal, the bank should examine promoter contribution, premises arrangements, equipment quotations, customer demand, statutory permissions and the proposed security. Disbursement should follow documented end use and completion of the agreed conditions.</w:t>
      </w:r>
    </w:p>
    <w:p>
      <w:pPr>
        <w:pStyle w:val="Default"/>
        <w:spacing w:after="120"/>
        <w:jc w:val="both"/>
      </w:pPr>
      <w:r>
        <w:t xml:space="preserve">Management should provide periodic stock, debtor and operating statements and discuss material deviations with the lender. Expansion should remain within demonstrated operational capacity and available working capital. This assessment is conditional on execution of the operating plan and timely collections; it does not constitute a guarantee of sanction, future profit or uninterrupted debt service.</w:t>
      </w:r>
    </w:p>
    <w:p>
      <w:pPr>
        <w:pStyle w:val="Default"/>
        <w:spacing w:after="120"/>
        <w:jc w:val="both"/>
      </w:pPr>
      <w:r>
        <w:t xml:space="preserve">This is a sample report prepared with Finxora; the business and its figures are illustrative.</w:t>
      </w:r>
    </w:p>
    <w:p>
      <w:pPr>
        <w:spacing w:after="200"/>
      </w:pPr>
    </w:p>
    <w:p>
      <w:r>
        <w:br w:type="page"/>
      </w:r>
    </w:p>
    <w:p>
      <w:pPr>
        <w:pStyle w:val="sectionHeading"/>
        <w:spacing w:after="200"/>
        <w:jc w:val="center"/>
      </w:pPr>
      <w:r>
        <w:t xml:space="preserve">Operating Statement</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40"/>
        <w:gridCol w:w="12"/>
        <w:gridCol w:w="12"/>
        <w:gridCol w:w="12"/>
        <w:gridCol w:w="12"/>
        <w:gridCol w:w="12"/>
      </w:tblGrid>
      <w:tr>
        <w:trPr>
          <w:tblHeader/>
          <w:trHeight w:val="600" w:hRule="atLeast"/>
        </w:trPr>
        <w:tc>
          <w:tcPr>
            <w:tcW w:type="pct" w:w="40%"/>
            <w:tcBorders>
              <w:top w:val="single" w:color="000000" w:sz="1"/>
              <w:left w:val="single" w:color="000000" w:sz="1"/>
              <w:bottom w:val="single" w:color="000000" w:sz="1"/>
              <w:right w:val="single" w:color="000000" w:sz="1"/>
            </w:tcBorders>
            <w:shd w:fill="475569" w:color="475569" w:val="solid"/>
            <w:vAlign w:val="center"/>
          </w:tcPr>
          <w:p>
            <w:pPr>
              <w:pStyle w:val="TableHeaderStyle"/>
              <w:jc w:val="center"/>
            </w:pPr>
            <w:r>
              <w:rPr>
                <w:b/>
                <w:bCs/>
                <w:color w:val="FFFFFF"/>
              </w:rPr>
              <w:t xml:space="preserve">Particulars</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TableHeaderStyle"/>
              <w:jc w:val="center"/>
            </w:pPr>
            <w:r>
              <w:rPr>
                <w:b/>
                <w:bCs/>
                <w:color w:val="FFFFFF"/>
              </w:rPr>
              <w:t xml:space="preserve">2024-2025</w:t>
            </w:r>
          </w:p>
          <w:p>
            <w:pPr>
              <w:pStyle w:val="TableHeaderStyle"/>
              <w:jc w:val="center"/>
            </w:pPr>
            <w:r>
              <w:rPr>
                <w:b/>
                <w:bCs/>
                <w:color w:val="FFFFFF"/>
              </w:rPr>
              <w:t xml:space="preserve">(actual)</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TableHeaderStyle"/>
              <w:jc w:val="center"/>
            </w:pPr>
            <w:r>
              <w:rPr>
                <w:b/>
                <w:bCs/>
                <w:color w:val="FFFFFF"/>
              </w:rPr>
              <w:t xml:space="preserve">2025-2026</w:t>
            </w:r>
          </w:p>
          <w:p>
            <w:pPr>
              <w:pStyle w:val="TableHeaderStyle"/>
              <w:jc w:val="center"/>
            </w:pPr>
            <w:r>
              <w:rPr>
                <w:b/>
                <w:bCs/>
                <w:color w:val="FFFFFF"/>
              </w:rPr>
              <w:t xml:space="preserve">(provisional)</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TableHeaderStyle"/>
              <w:jc w:val="center"/>
            </w:pPr>
            <w:r>
              <w:rPr>
                <w:b/>
                <w:bCs/>
                <w:color w:val="FFFFFF"/>
              </w:rPr>
              <w:t xml:space="preserve">2026-2027</w:t>
            </w:r>
          </w:p>
          <w:p>
            <w:pPr>
              <w:pStyle w:val="TableHeaderStyle"/>
              <w:jc w:val="center"/>
            </w:pPr>
            <w:r>
              <w:rPr>
                <w:b/>
                <w:bCs/>
                <w:color w:val="FFFFFF"/>
              </w:rPr>
              <w:t xml:space="preserve">(projected)</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TableHeaderStyle"/>
              <w:jc w:val="center"/>
            </w:pPr>
            <w:r>
              <w:rPr>
                <w:b/>
                <w:bCs/>
                <w:color w:val="FFFFFF"/>
              </w:rPr>
              <w:t xml:space="preserve">2027-2028</w:t>
            </w:r>
          </w:p>
          <w:p>
            <w:pPr>
              <w:pStyle w:val="TableHeaderStyle"/>
              <w:jc w:val="center"/>
            </w:pPr>
            <w:r>
              <w:rPr>
                <w:b/>
                <w:bCs/>
                <w:color w:val="FFFFFF"/>
              </w:rPr>
              <w:t xml:space="preserve">(projected)</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TableHeaderStyle"/>
              <w:jc w:val="center"/>
            </w:pPr>
            <w:r>
              <w:rPr>
                <w:b/>
                <w:bCs/>
                <w:color w:val="FFFFFF"/>
              </w:rPr>
              <w:t xml:space="preserve">2028-2029</w:t>
            </w:r>
          </w:p>
          <w:p>
            <w:pPr>
              <w:pStyle w:val="TableHeaderStyle"/>
              <w:jc w:val="center"/>
            </w:pPr>
            <w:r>
              <w:rPr>
                <w:b/>
                <w:bCs/>
                <w:color w:val="FFFFFF"/>
              </w:rPr>
              <w:t xml:space="preserve">(projected)</w:t>
            </w:r>
          </w:p>
        </w:tc>
      </w:tr>
      <w:tr>
        <w:trPr>
          <w:trHeight w:val="300" w:hRule="atLeast"/>
        </w:trPr>
        <w:tc>
          <w:tcPr>
            <w:tcW w:type="pct" w:w="40%"/>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bCs/>
                <w:color w:val="FFFFFF"/>
              </w:rPr>
              <w:t xml:space="preserve">1. Gross Sales</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Manufactured product sales</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3,60,00,000.00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3,88,80,000.00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4,19,90,400.00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4,53,49,632.00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4,89,77,602.56</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(ii) Export Sales</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(iii) Add other revenue income</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bCs/>
                <w:color w:val="FFFFFF"/>
              </w:rPr>
              <w:t xml:space="preserve">Total</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t xml:space="preserve">3,60,00,000.00</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t xml:space="preserve">3,88,80,000.00</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t xml:space="preserve">4,19,90,400.00</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t xml:space="preserve">4,53,49,632.00</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t xml:space="preserve">4,89,77,602.56</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2. Less excise duty</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Deduct other items</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bCs/>
                <w:color w:val="FFFFFF"/>
              </w:rPr>
              <w:t xml:space="preserve">3. Net Sales (item 1 - item 2)</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t xml:space="preserve">3,60,00,000.00</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t xml:space="preserve">3,88,80,000.00</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t xml:space="preserve">4,19,90,400.00</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t xml:space="preserve">4,53,49,632.00</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t xml:space="preserve">4,89,77,602.56</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4. % age rise (+) or fall (-) in net sales</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8.00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8.00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8.00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8.00</w:t>
            </w:r>
          </w:p>
        </w:tc>
      </w:tr>
      <w:tr>
        <w:trPr>
          <w:trHeight w:val="300" w:hRule="atLeast"/>
        </w:trPr>
        <w:tc>
          <w:tcPr>
            <w:tcW w:type="pct" w:w="40%"/>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bCs/>
                <w:color w:val="FFFFFF"/>
              </w:rPr>
              <w:t xml:space="preserve">5. Cost of Sales</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r>
      <w:tr>
        <w:trPr>
          <w:trHeight w:val="300" w:hRule="atLeast"/>
        </w:trPr>
        <w:tc>
          <w:tcPr>
            <w:tcW w:type="pct" w:w="40%"/>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bCs/>
                <w:color w:val="FFFFFF"/>
              </w:rPr>
              <w:t xml:space="preserve">  (i) Raw Material</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t xml:space="preserve">2,32,52,054.79</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t xml:space="preserve">2,16,60,164.38</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t xml:space="preserve">2,33,92,977.53</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t xml:space="preserve">2,52,64,415.74</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t xml:space="preserve">2,72,85,569.00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(a) Imported</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Raw material purchases</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2,32,52,054.79</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2,16,60,164.38</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2,33,92,977.53</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2,52,64,415.74</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2,72,85,569.00</w:t>
            </w:r>
          </w:p>
        </w:tc>
      </w:tr>
      <w:tr>
        <w:trPr>
          <w:trHeight w:val="300" w:hRule="atLeast"/>
        </w:trPr>
        <w:tc>
          <w:tcPr>
            <w:tcW w:type="pct" w:w="40%"/>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bCs/>
                <w:color w:val="FFFFFF"/>
              </w:rPr>
              <w:t xml:space="preserve">  (ii) Other Consumables</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t xml:space="preserve">0.00</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t xml:space="preserve">0.00</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t xml:space="preserve">0.00</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t xml:space="preserve">0.00</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(a) Imported</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(b) Indigenous</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bCs/>
                <w:color w:val="FFFFFF"/>
              </w:rPr>
              <w:t xml:space="preserve">  (iii) Direct Expenses</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t xml:space="preserve">0.00</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t xml:space="preserve">0.00</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t xml:space="preserve">0.00</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t xml:space="preserve">0.00</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(a) Imported</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(b) Indigenous</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(iv) Power and Fuel</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10,80,000.00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11,66,400.00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12,59,712.00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13,60,488.96</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14,69,328.08</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Production wages</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28,80,000.00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31,10,400.00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33,59,232.00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36,27,970.56</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39,18,208.20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Factory overheads</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7,20,000.00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7,77,600.00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8,39,808.00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9,06,992.64</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9,79,552.05</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(vii) Depreciation</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21,60,000.00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18,63,000.00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16,07,850.00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13,88,542.51</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11,99,944.12</w:t>
            </w:r>
          </w:p>
        </w:tc>
      </w:tr>
      <w:tr>
        <w:trPr>
          <w:trHeight w:val="300" w:hRule="atLeast"/>
        </w:trPr>
        <w:tc>
          <w:tcPr>
            <w:tcW w:type="pct" w:w="40%"/>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bCs/>
                <w:color w:val="FFFFFF"/>
              </w:rPr>
              <w:t xml:space="preserve">(viii) Sub Total (i to vii)</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3,00,92,054.79</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2,85,77,564.38</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3,04,59,579.53</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3,25,48,410.41</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3,48,52,601.45</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(ix) Add: Opening stocks-in-Process</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(x) Deduct: Closing stocks-in-Process</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bCs/>
                <w:color w:val="FFFFFF"/>
              </w:rPr>
              <w:t xml:space="preserve">(xi) Cost of Production</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t xml:space="preserve">3,00,92,054.79</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t xml:space="preserve">2,85,77,564.38</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t xml:space="preserve">3,04,59,579.53</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t xml:space="preserve">3,25,48,410.41</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t xml:space="preserve">3,48,52,601.45</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(xii) Add : Opening Stock of Finished Goods</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34,52,054.79</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37,28,219.18</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40,26,476.71</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43,48,594.85</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(xiii) Deduct: Closing stocks of Finished Goods</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34,52,054.79</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37,28,219.18</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40,26,476.71</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43,48,594.85</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46,96,482.44</w:t>
            </w:r>
          </w:p>
        </w:tc>
      </w:tr>
      <w:tr>
        <w:trPr>
          <w:trHeight w:val="300" w:hRule="atLeast"/>
        </w:trPr>
        <w:tc>
          <w:tcPr>
            <w:tcW w:type="pct" w:w="40%"/>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bCs/>
                <w:color w:val="FFFFFF"/>
              </w:rPr>
              <w:t xml:space="preserve">Sub-Total (Total Cost of Sales)</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2,66,40,000.00</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2,83,01,399.99</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3,01,61,322.00</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3,22,26,292.27</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3,45,04,713.86</w:t>
            </w:r>
          </w:p>
        </w:tc>
      </w:tr>
      <w:tr>
        <w:trPr>
          <w:trHeight w:val="300" w:hRule="atLeast"/>
        </w:trPr>
        <w:tc>
          <w:tcPr>
            <w:tcW w:type="pct" w:w="40%"/>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bCs/>
                <w:color w:val="FFFFFF"/>
              </w:rPr>
              <w:t xml:space="preserve">6. Selling, general and administrative exp.</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Salaries &amp; Wages</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10,80,000.00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11,66,400.00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12,59,712.00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13,60,488.96</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14,69,328.08</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Rent</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4,32,000.00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4,66,560.00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5,03,884.80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5,44,195.58</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5,87,731.23</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Advertising &amp; Marketing</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3,60,000.00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3,88,800.00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4,19,904.00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4,53,496.32</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4,89,776.03</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Freight &amp; Transportation</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3,60,000.00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3,88,800.00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4,19,904.00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4,53,496.32</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4,89,776.03</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Electricity &amp; Utilities</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2,88,000.00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3,11,040.00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3,35,923.20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3,62,797.06</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3,91,820.82</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Travel &amp; Conveyance</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2,16,000.00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2,33,280.00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2,51,942.40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2,72,097.79</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2,93,865.62</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Repairs &amp; Maintenance</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2,16,000.00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2,33,280.00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2,51,942.40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2,72,097.79</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2,93,865.62</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Insurance</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1,44,000.00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1,55,520.00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1,67,961.60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1,81,398.53</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1,95,910.41</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Professional &amp; Legal Fees</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1,44,000.00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1,55,520.00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1,67,961.60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1,81,398.53</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1,95,910.41</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Communication (Phone, Internet)</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1,08,000.00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1,16,640.00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1,25,971.20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1,36,048.90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1,46,932.81</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Office Supplies &amp; Stationery</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1,08,000.00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1,16,640.00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1,25,971.20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1,36,048.90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1,46,932.81</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Bank Charges</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72,000.00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77,760.00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83,980.80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90,699.26</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97,955.21</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Other Selling Expenses</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72,000.00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77,760.00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83,980.80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90,699.26</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97,955.21</w:t>
            </w:r>
          </w:p>
        </w:tc>
      </w:tr>
      <w:tr>
        <w:trPr>
          <w:trHeight w:val="300" w:hRule="atLeast"/>
        </w:trPr>
        <w:tc>
          <w:tcPr>
            <w:tcW w:type="pct" w:w="40%"/>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bCs/>
                <w:color w:val="FFFFFF"/>
              </w:rPr>
              <w:t xml:space="preserve">Total Selling, general and administrative exp.</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36,00,000.00</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38,88,000.00</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41,99,040.00</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45,34,963.20</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48,97,760.29</w:t>
            </w:r>
          </w:p>
        </w:tc>
      </w:tr>
      <w:tr>
        <w:trPr>
          <w:trHeight w:val="300" w:hRule="atLeast"/>
        </w:trPr>
        <w:tc>
          <w:tcPr>
            <w:tcW w:type="pct" w:w="40%"/>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bCs/>
                <w:color w:val="FFFFFF"/>
              </w:rPr>
              <w:t xml:space="preserve">7. Sub Total (5+6)(Total Cost of Sales)</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3,02,40,000.00</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3,21,89,399.99</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3,43,60,362.00</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3,67,61,255.47</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3,94,02,474.15</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bCs/>
                <w:color w:val="000000"/>
              </w:rPr>
              <w:t xml:space="preserve">8. Operating Profit before Interest (3-7)</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57,60,000.00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66,90,600.01</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76,30,038.00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85,88,376.53</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95,75,128.41</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9. Interest on WC</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1,98,000.00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1,98,000.00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1,98,000.00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Interest on TL</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6,01,778.48</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4,90,417.30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3,68,003.79</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2,33,441.04</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85,523.26</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bCs/>
                <w:color w:val="000000"/>
              </w:rPr>
              <w:t xml:space="preserve">10. Operating profit after interest (8-9)</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51,58,221.52</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62,00,182.71</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70,64,034.21</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81,56,935.49</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92,91,605.15</w:t>
            </w:r>
          </w:p>
        </w:tc>
      </w:tr>
      <w:tr>
        <w:trPr>
          <w:trHeight w:val="300" w:hRule="atLeast"/>
        </w:trPr>
        <w:tc>
          <w:tcPr>
            <w:tcW w:type="pct" w:w="40%"/>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bCs/>
                <w:color w:val="FFFFFF"/>
              </w:rPr>
              <w:t xml:space="preserve">11. (i) Add other non-operating income</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(a) Other Income</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(b)</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(c)</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(d)</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r>
      <w:tr>
        <w:trPr>
          <w:trHeight w:val="300" w:hRule="atLeast"/>
        </w:trPr>
        <w:tc>
          <w:tcPr>
            <w:tcW w:type="pct" w:w="40%"/>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bCs/>
                <w:color w:val="FFFFFF"/>
              </w:rPr>
              <w:t xml:space="preserve">I - Sub Total (Income)</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0.00</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0.00</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0.00</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0.00</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bCs/>
                <w:color w:val="FFFFFF"/>
              </w:rPr>
              <w:t xml:space="preserve">(ii) Deduct other non-operation expenses</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(a)</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(b)</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(c)</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(d)</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r>
      <w:tr>
        <w:trPr>
          <w:trHeight w:val="300" w:hRule="atLeast"/>
        </w:trPr>
        <w:tc>
          <w:tcPr>
            <w:tcW w:type="pct" w:w="40%"/>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bCs/>
                <w:color w:val="FFFFFF"/>
              </w:rPr>
              <w:t xml:space="preserve">II - Sub Total (expenses)</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0.00</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0.00</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0.00</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0.00</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bCs/>
                <w:color w:val="FFFFFF"/>
              </w:rPr>
              <w:t xml:space="preserve">III - Net of other non-operation income/exp. (I - II)</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0.00</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0.00</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0.00</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0.00</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bCs/>
                <w:color w:val="000000"/>
              </w:rPr>
              <w:t xml:space="preserve">12. Profit before tax [10+11(iii)]</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51,58,221.52</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62,00,182.71</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70,64,034.21</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81,56,935.49</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92,91,605.15</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13. Provision for taxes</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13,41,137.60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16,12,047.50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18,36,648.89</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21,20,803.23</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24,15,817.34</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Deferred</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bCs/>
                <w:color w:val="FFFFFF"/>
              </w:rPr>
              <w:t xml:space="preserve">14. Net Profit/loss (12-13)</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t xml:space="preserve">38,17,083.92</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t xml:space="preserve">45,88,135.21</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t xml:space="preserve">52,27,385.32</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t xml:space="preserve">60,36,132.26</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t xml:space="preserve">68,75,787.81</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15. (a) Equity dividend paid - amount</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bCs/>
                <w:color w:val="000000"/>
              </w:rPr>
              <w:t xml:space="preserve">16. Retained Profit</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38,17,083.92</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45,88,135.21</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52,27,385.32</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60,36,132.26</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68,75,787.81</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bCs/>
                <w:color w:val="000000"/>
              </w:rPr>
              <w:t xml:space="preserve">17. Retained Profit/Net Profit (% Age)</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100.00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100.00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100.00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100.00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100.00</w:t>
            </w:r>
          </w:p>
        </w:tc>
      </w:tr>
      <w:tr>
        <w:trPr>
          <w:trHeight w:val="300" w:hRule="atLeast"/>
        </w:trPr>
        <w:tc>
          <w:tcPr>
            <w:tcW w:type="pct" w:w="40%"/>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bCs/>
                <w:color w:val="FFFFFF"/>
              </w:rPr>
              <w:t xml:space="preserve">NP Ratio</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t xml:space="preserve">10.60</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t xml:space="preserve">11.80</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t xml:space="preserve">12.45</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t xml:space="preserve">13.31</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t xml:space="preserve">14.04</w:t>
            </w:r>
          </w:p>
        </w:tc>
      </w:tr>
    </w:tbl>
    <w:p>
      <w:pPr>
        <w:spacing w:after="400"/>
      </w:pPr>
    </w:p>
    <w:p>
      <w:r>
        <w:br w:type="page"/>
      </w:r>
    </w:p>
    <w:p>
      <w:pPr>
        <w:pStyle w:val="sectionHeading"/>
        <w:spacing w:after="200"/>
        <w:jc w:val="center"/>
      </w:pPr>
      <w:r>
        <w:t xml:space="preserve">Balance Sheet</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40"/>
        <w:gridCol w:w="12"/>
        <w:gridCol w:w="12"/>
        <w:gridCol w:w="12"/>
        <w:gridCol w:w="12"/>
        <w:gridCol w:w="12"/>
      </w:tblGrid>
      <w:tr>
        <w:trPr>
          <w:tblHeader/>
          <w:trHeight w:val="600" w:hRule="atLeast"/>
        </w:trPr>
        <w:tc>
          <w:tcPr>
            <w:tcW w:type="pct" w:w="40%"/>
            <w:tcBorders>
              <w:top w:val="single" w:color="000000" w:sz="1"/>
              <w:left w:val="single" w:color="000000" w:sz="1"/>
              <w:bottom w:val="single" w:color="000000" w:sz="1"/>
              <w:right w:val="single" w:color="000000" w:sz="1"/>
            </w:tcBorders>
            <w:shd w:fill="475569" w:color="475569" w:val="solid"/>
            <w:vAlign w:val="center"/>
          </w:tcPr>
          <w:p>
            <w:pPr>
              <w:pStyle w:val="TableHeaderStyle"/>
              <w:jc w:val="center"/>
            </w:pPr>
            <w:r>
              <w:rPr>
                <w:b/>
                <w:bCs/>
                <w:color w:val="FFFFFF"/>
              </w:rPr>
              <w:t xml:space="preserve">Particulars</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TableHeaderStyle"/>
              <w:jc w:val="center"/>
            </w:pPr>
            <w:r>
              <w:rPr>
                <w:b/>
                <w:bCs/>
                <w:color w:val="FFFFFF"/>
              </w:rPr>
              <w:t xml:space="preserve">2024-2025</w:t>
            </w:r>
          </w:p>
          <w:p>
            <w:pPr>
              <w:pStyle w:val="TableHeaderStyle"/>
              <w:jc w:val="center"/>
            </w:pPr>
            <w:r>
              <w:rPr>
                <w:b/>
                <w:bCs/>
                <w:color w:val="FFFFFF"/>
              </w:rPr>
              <w:t xml:space="preserve">(actual)</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TableHeaderStyle"/>
              <w:jc w:val="center"/>
            </w:pPr>
            <w:r>
              <w:rPr>
                <w:b/>
                <w:bCs/>
                <w:color w:val="FFFFFF"/>
              </w:rPr>
              <w:t xml:space="preserve">2025-2026</w:t>
            </w:r>
          </w:p>
          <w:p>
            <w:pPr>
              <w:pStyle w:val="TableHeaderStyle"/>
              <w:jc w:val="center"/>
            </w:pPr>
            <w:r>
              <w:rPr>
                <w:b/>
                <w:bCs/>
                <w:color w:val="FFFFFF"/>
              </w:rPr>
              <w:t xml:space="preserve">(provisional)</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TableHeaderStyle"/>
              <w:jc w:val="center"/>
            </w:pPr>
            <w:r>
              <w:rPr>
                <w:b/>
                <w:bCs/>
                <w:color w:val="FFFFFF"/>
              </w:rPr>
              <w:t xml:space="preserve">2026-2027</w:t>
            </w:r>
          </w:p>
          <w:p>
            <w:pPr>
              <w:pStyle w:val="TableHeaderStyle"/>
              <w:jc w:val="center"/>
            </w:pPr>
            <w:r>
              <w:rPr>
                <w:b/>
                <w:bCs/>
                <w:color w:val="FFFFFF"/>
              </w:rPr>
              <w:t xml:space="preserve">(projected)</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TableHeaderStyle"/>
              <w:jc w:val="center"/>
            </w:pPr>
            <w:r>
              <w:rPr>
                <w:b/>
                <w:bCs/>
                <w:color w:val="FFFFFF"/>
              </w:rPr>
              <w:t xml:space="preserve">2027-2028</w:t>
            </w:r>
          </w:p>
          <w:p>
            <w:pPr>
              <w:pStyle w:val="TableHeaderStyle"/>
              <w:jc w:val="center"/>
            </w:pPr>
            <w:r>
              <w:rPr>
                <w:b/>
                <w:bCs/>
                <w:color w:val="FFFFFF"/>
              </w:rPr>
              <w:t xml:space="preserve">(projected)</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TableHeaderStyle"/>
              <w:jc w:val="center"/>
            </w:pPr>
            <w:r>
              <w:rPr>
                <w:b/>
                <w:bCs/>
                <w:color w:val="FFFFFF"/>
              </w:rPr>
              <w:t xml:space="preserve">2028-2029</w:t>
            </w:r>
          </w:p>
          <w:p>
            <w:pPr>
              <w:pStyle w:val="TableHeaderStyle"/>
              <w:jc w:val="center"/>
            </w:pPr>
            <w:r>
              <w:rPr>
                <w:b/>
                <w:bCs/>
                <w:color w:val="FFFFFF"/>
              </w:rPr>
              <w:t xml:space="preserve">(projected)</w:t>
            </w:r>
          </w:p>
        </w:tc>
      </w:tr>
      <w:tr>
        <w:trPr>
          <w:trHeight w:val="300" w:hRule="atLeast"/>
        </w:trPr>
        <w:tc>
          <w:tcPr>
            <w:tcW w:type="pct" w:w="40%"/>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bCs/>
                <w:color w:val="FFFFFF"/>
              </w:rPr>
              <w:t xml:space="preserve">CURRENT LIABILITIES</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bCs/>
                <w:color w:val="000000"/>
              </w:rPr>
              <w:t xml:space="preserve">1. Borrowing from Banks</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(i) From Applicant Bank</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19,80,000.00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19,80,000.00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19,80,000.00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(ii) From Other Bank</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(iii) (of which OCC discount)</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r>
      <w:tr>
        <w:trPr>
          <w:trHeight w:val="300" w:hRule="atLeast"/>
        </w:trPr>
        <w:tc>
          <w:tcPr>
            <w:tcW w:type="pct" w:w="40%"/>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bCs/>
                <w:color w:val="FFFFFF"/>
              </w:rPr>
              <w:t xml:space="preserve">Sub Total(a)</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0.00</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0.00</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19,80,000.00</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19,80,000.00</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19,80,000.00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2. Short Term Borrowings From Others</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3. Sundry Creditor (Trade)</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13,56,164.38</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14,64,657.53</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15,81,830.14</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17,08,376.55</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18,45,046.67</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4. Advance payments from customers/deposits from dealers</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5. Provision for taxation</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13,41,137.60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16,12,047.50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18,36,648.89</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21,20,803.23</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24,15,817.35</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6. Dividend payable</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7. Other statutory liabilities (plus within one year)</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8. Deposits/repayments of term loans (plus within one year)</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12,33,415.48</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13,55,828.98</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14,90,391.73</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16,38,309.51</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bCs/>
                <w:color w:val="FFFFFF"/>
              </w:rPr>
              <w:t xml:space="preserve">9. Other current liabilities</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(a) Other current liabilities</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(b)</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(c)</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(d)</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r>
      <w:tr>
        <w:trPr>
          <w:trHeight w:val="300" w:hRule="atLeast"/>
        </w:trPr>
        <w:tc>
          <w:tcPr>
            <w:tcW w:type="pct" w:w="40%"/>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bCs/>
                <w:color w:val="FFFFFF"/>
              </w:rPr>
              <w:t xml:space="preserve">Sub Total (b)</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39,30,717.46</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44,32,534.01</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49,08,870.76</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54,67,489.29</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42,60,864.02</w:t>
            </w:r>
          </w:p>
        </w:tc>
      </w:tr>
      <w:tr>
        <w:trPr>
          <w:trHeight w:val="300" w:hRule="atLeast"/>
        </w:trPr>
        <w:tc>
          <w:tcPr>
            <w:tcW w:type="pct" w:w="40%"/>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bCs/>
                <w:color w:val="FFFFFF"/>
              </w:rPr>
              <w:t xml:space="preserve">10. TOTAL CURRENT LIABILITIES</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39,30,717.46</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44,32,534.01</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68,88,870.76</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74,47,489.29</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62,40,864.02</w:t>
            </w:r>
          </w:p>
        </w:tc>
      </w:tr>
      <w:tr>
        <w:trPr>
          <w:trHeight w:val="300" w:hRule="atLeast"/>
        </w:trPr>
        <w:tc>
          <w:tcPr>
            <w:tcW w:type="pct" w:w="40%"/>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bCs/>
                <w:color w:val="FFFFFF"/>
              </w:rPr>
              <w:t xml:space="preserve">TERM LIABILITIES</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11.Debentures</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12.Preference shares</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13.Term loans(excl. old installments payable within one year)</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44,84,530.23</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31,28,701.24</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16,38,309.51</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14.Deferred Payment Credits</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15.Long Term Advances (repayable after one year)</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16.Other Term liabilities</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bCs/>
                <w:color w:val="FFFFFF"/>
              </w:rPr>
              <w:t xml:space="preserve">17. TOTAL TERM LIABILITIES</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44,84,530.23</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31,28,701.24</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16,38,309.51</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0.00</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bCs/>
                <w:color w:val="FFFFFF"/>
              </w:rPr>
              <w:t xml:space="preserve">18. TOTAL OUTSIDE LIABILITIES (10+17)</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84,15,247.69</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75,61,235.25</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85,27,180.27</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74,47,489.29</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62,40,864.02</w:t>
            </w:r>
          </w:p>
        </w:tc>
      </w:tr>
      <w:tr>
        <w:trPr>
          <w:trHeight w:val="300" w:hRule="atLeast"/>
        </w:trPr>
        <w:tc>
          <w:tcPr>
            <w:tcW w:type="pct" w:w="40%"/>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bCs/>
                <w:color w:val="FFFFFF"/>
              </w:rPr>
              <w:t xml:space="preserve">NET WORTH</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19. Capital</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1,11,60,000.00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1,11,60,000.01</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1,11,59,999.99</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1,11,59,999.99</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1,11,59,999.99</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20.Other Income</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21.Share application money</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22.Other reserves (subsidy)</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23a. Accumulated Reserves &amp; Surplus (Opening)</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38,17,083.92</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84,05,219.13</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1,36,32,604.45</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1,96,68,736.71</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24.Surplus or deficit in Profit and loss A/c</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38,17,083.92</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45,88,135.21</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52,27,385.32</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60,36,132.26</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68,75,787.81</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25.Drawings (Withdrawal)</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bCs/>
                <w:color w:val="FFFFFF"/>
              </w:rPr>
              <w:t xml:space="preserve">26. NET WORTH</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1,49,77,083.92</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1,95,65,219.14</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2,47,92,604.44</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3,08,28,736.70</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3,77,04,524.51</w:t>
            </w:r>
          </w:p>
        </w:tc>
      </w:tr>
      <w:tr>
        <w:trPr>
          <w:trHeight w:val="300" w:hRule="atLeast"/>
        </w:trPr>
        <w:tc>
          <w:tcPr>
            <w:tcW w:type="pct" w:w="40%"/>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bCs/>
                <w:color w:val="FFFFFF"/>
              </w:rPr>
              <w:t xml:space="preserve">27. TOTAL LIABILITIES [18+26]</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2,33,92,331.61</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2,71,26,454.39</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3,33,19,784.71</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3,82,76,225.99</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4,39,45,388.53</w:t>
            </w:r>
          </w:p>
        </w:tc>
      </w:tr>
      <w:tr>
        <w:trPr>
          <w:trHeight w:val="300" w:hRule="atLeast"/>
        </w:trPr>
        <w:tc>
          <w:tcPr>
            <w:tcW w:type="pct" w:w="40%"/>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bCs/>
                <w:color w:val="FFFFFF"/>
              </w:rPr>
              <w:t xml:space="preserve">CURRENT ASSETS</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28.Cash and bank balances</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1,24,057.07</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41,28,330.63</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98,57,976.26</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1,43,81,760.78</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1,92,80,667.37</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bCs/>
                <w:color w:val="000000"/>
              </w:rPr>
              <w:t xml:space="preserve">29. Investments (other than long term Investments)</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(i) Government and other Trustee Securities</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(ii)Fixed deposits with Banks</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30.(i) Receivables (Debtors &lt; 6 months) other than deferred and exports(including bills purchased and discounted by banks)</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39,45,205.48</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42,60,821.92</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46,01,687.67</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49,69,822.68</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53,67,408.50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(ii)Export receivables((including bills purchased and discounted by banks)</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31. Instalments of deferred receivables(due within one year)</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bCs/>
                <w:color w:val="FFFFFF"/>
              </w:rPr>
              <w:t xml:space="preserve">32. Inventory</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r>
      <w:tr>
        <w:trPr>
          <w:trHeight w:val="300" w:hRule="atLeast"/>
        </w:trPr>
        <w:tc>
          <w:tcPr>
            <w:tcW w:type="pct" w:w="40%"/>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bCs/>
                <w:color w:val="FFFFFF"/>
              </w:rPr>
              <w:t xml:space="preserve">(i) Raw Materials( including stores and other items used in the process of manufacture)</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(a) Imported Raw Materials</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(b) Indigenous Raw Materials</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(ii) Stocks-in-Process</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(iii) Finished Goods</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34,52,054.79</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37,28,219.18</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40,26,476.71</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43,48,594.85</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46,96,482.44</w:t>
            </w:r>
          </w:p>
        </w:tc>
      </w:tr>
      <w:tr>
        <w:trPr>
          <w:trHeight w:val="300" w:hRule="atLeast"/>
        </w:trPr>
        <w:tc>
          <w:tcPr>
            <w:tcW w:type="pct" w:w="40%"/>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bCs/>
                <w:color w:val="FFFFFF"/>
              </w:rPr>
              <w:t xml:space="preserve">  (iv) Other Consumables</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(a) Imported Consumables</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(b) Indigenous Consumables</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bCs/>
                <w:color w:val="FFFFFF"/>
              </w:rPr>
              <w:t xml:space="preserve">  (v) Direct Expenses</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(a) Imported Direct Expenses</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(b) Indigenous Direct Expenses</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bCs/>
                <w:color w:val="FFFFFF"/>
              </w:rPr>
              <w:t xml:space="preserve">Sub-Total Inventory</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34,52,054.79</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37,28,219.18</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40,26,476.71</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43,48,594.85</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46,96,482.44</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33.Advances to suppliers of raw material, stores and expenses</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34.Advance payment of taxes</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bCs/>
                <w:color w:val="FFFFFF"/>
              </w:rPr>
              <w:t xml:space="preserve">35. Other current Assets</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(a) Excise deposits</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(b) Int. receivable</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(c) Misc.</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bCs/>
                <w:color w:val="FFFFFF"/>
              </w:rPr>
              <w:t xml:space="preserve">Sub-Total Other Current Assets</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0.00</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0.00</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0.00</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0.00</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bCs/>
                <w:color w:val="FFFFFF"/>
              </w:rPr>
              <w:t xml:space="preserve">36. TOTAL CURRENT ASSETS [total of 28 to 35]</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75,21,317.34</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1,21,17,371.73</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1,84,86,140.64</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2,37,00,178.31</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2,93,44,558.31</w:t>
            </w:r>
          </w:p>
        </w:tc>
      </w:tr>
      <w:tr>
        <w:trPr>
          <w:trHeight w:val="300" w:hRule="atLeast"/>
        </w:trPr>
        <w:tc>
          <w:tcPr>
            <w:tcW w:type="pct" w:w="40%"/>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bCs/>
                <w:color w:val="FFFFFF"/>
              </w:rPr>
              <w:t xml:space="preserve">FIXED ASSETS</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37.Gross Block</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1,80,00,000.00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1,58,40,000.00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1,39,77,000.00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1,23,69,150.00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1,09,80,607.49</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38.Depreciation to date</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21,60,000.00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18,63,000.00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16,07,850.00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13,88,542.51</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11,99,944.12</w:t>
            </w:r>
          </w:p>
        </w:tc>
      </w:tr>
      <w:tr>
        <w:trPr>
          <w:trHeight w:val="300" w:hRule="atLeast"/>
        </w:trPr>
        <w:tc>
          <w:tcPr>
            <w:tcW w:type="pct" w:w="40%"/>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bCs/>
                <w:color w:val="FFFFFF"/>
              </w:rPr>
              <w:t xml:space="preserve">39. NET BLOCK (37-38)</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1,58,40,000.00</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1,39,77,000.00</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1,23,69,150.00</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1,09,80,607.49</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97,80,663.37</w:t>
            </w:r>
          </w:p>
        </w:tc>
      </w:tr>
      <w:tr>
        <w:trPr>
          <w:trHeight w:val="300" w:hRule="atLeast"/>
        </w:trPr>
        <w:tc>
          <w:tcPr>
            <w:tcW w:type="pct" w:w="40%"/>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bCs/>
                <w:color w:val="FFFFFF"/>
              </w:rPr>
              <w:t xml:space="preserve">OTHER NON-CURRENT ASSETS</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r>
      <w:tr>
        <w:trPr>
          <w:trHeight w:val="300" w:hRule="atLeast"/>
        </w:trPr>
        <w:tc>
          <w:tcPr>
            <w:tcW w:type="pct" w:w="40%"/>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bCs/>
                <w:color w:val="FFFFFF"/>
              </w:rPr>
              <w:t xml:space="preserve">40. Investments/book debts/advances/deposits which are not Current Assets</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(a) Investments made in subsidiary companies/affiliates</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(b) Others</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(c) Advances to suppliers of capital goods and contractors</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(d) Deferred receivables (incl.inst due beyond one yr)</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(e) Debtors</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(f) Security Deposit</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bCs/>
                <w:color w:val="FFFFFF"/>
              </w:rPr>
              <w:t xml:space="preserve">Sub-Total Investments etc.</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0.00</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0.00</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0.00</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0.00</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41.Non-consumable stores and spares</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42.Other non-current assets</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31,014.27</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10,32,082.66</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24,64,494.07</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35,95,440.19</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48,20,166.84</w:t>
            </w:r>
          </w:p>
        </w:tc>
      </w:tr>
      <w:tr>
        <w:trPr>
          <w:trHeight w:val="300" w:hRule="atLeast"/>
        </w:trPr>
        <w:tc>
          <w:tcPr>
            <w:tcW w:type="pct" w:w="40%"/>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bCs/>
                <w:color w:val="FFFFFF"/>
              </w:rPr>
              <w:t xml:space="preserve">43. TOTAL OTHER NON-CURRENT ASSETS</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31,014.27</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10,32,082.66</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24,64,494.07</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35,95,440.19</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48,20,166.84</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44. Intangible assets(patents, goodwill, prelim. expenses, bad/doubtful exp.not provided for, etc.)</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bCs/>
                <w:color w:val="FFFFFF"/>
              </w:rPr>
              <w:t xml:space="preserve">45. TOTAL ASSETS [36+39+43+44]</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2,33,92,331.61</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2,71,26,454.39</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3,33,19,784.71</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3,82,76,225.99</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4,39,45,388.52</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bCs/>
                <w:color w:val="000000"/>
              </w:rPr>
              <w:t xml:space="preserve">46. TANGIBLE NET WORTH [26-44]</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1,49,77,083.92</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1,95,65,219.14</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2,47,92,604.44</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3,08,28,736.70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3,77,04,524.51</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bCs/>
                <w:color w:val="000000"/>
              </w:rPr>
              <w:t xml:space="preserve">47. NET WORKING CAPITAL [(17+26)-(39+43+44)]</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35,90,599.88</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76,84,837.72</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1,15,97,269.88</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1,62,52,689.02</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2,31,03,694.30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bCs/>
                <w:color w:val="000000"/>
              </w:rPr>
              <w:t xml:space="preserve">48. Current Ratio [36/10]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1.91</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2.73</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2.68</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3.18</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4.70</w:t>
            </w:r>
          </w:p>
        </w:tc>
      </w:tr>
      <w:tr>
        <w:trPr>
          <w:trHeight w:val="300" w:hRule="atLeast"/>
        </w:trPr>
        <w:tc>
          <w:tcPr>
            <w:tcW w:type="pct" w:w="40%"/>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bCs/>
                <w:color w:val="FFFFFF"/>
              </w:rPr>
              <w:t xml:space="preserve">49. Total Outside Liabilities/Tangible Net Worth [18/46]</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t xml:space="preserve">0.56</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t xml:space="preserve">0.39</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t xml:space="preserve">0.34</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t xml:space="preserve">0.24</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t xml:space="preserve">0.17</w:t>
            </w:r>
          </w:p>
        </w:tc>
      </w:tr>
      <w:tr>
        <w:trPr>
          <w:trHeight w:val="300" w:hRule="atLeast"/>
        </w:trPr>
        <w:tc>
          <w:tcPr>
            <w:tcW w:type="pct" w:w="40%"/>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bCs/>
                <w:color w:val="FFFFFF"/>
              </w:rPr>
              <w:t xml:space="preserve">50. Total Term Liabilities/Tangible Net Worth [17/46]</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t xml:space="preserve">0.30</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t xml:space="preserve">0.16</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t xml:space="preserve">0.07</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t xml:space="preserve">0.00</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bCs/>
                <w:color w:val="000000"/>
              </w:rPr>
              <w:t xml:space="preserve">Difference [27-45]</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0.01</w:t>
            </w:r>
          </w:p>
        </w:tc>
      </w:tr>
    </w:tbl>
    <w:p>
      <w:pPr>
        <w:spacing w:after="400"/>
      </w:pPr>
    </w:p>
    <w:p>
      <w:r>
        <w:br w:type="page"/>
      </w:r>
    </w:p>
    <w:p>
      <w:pPr>
        <w:pStyle w:val="sectionHeading"/>
        <w:spacing w:after="200"/>
        <w:jc w:val="center"/>
      </w:pPr>
      <w:r>
        <w:t xml:space="preserve">Depreciation Chart</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5"/>
        <w:gridCol w:w="12"/>
        <w:gridCol w:w="10"/>
        <w:gridCol w:w="10"/>
        <w:gridCol w:w="10"/>
        <w:gridCol w:w="10"/>
        <w:gridCol w:w="13"/>
      </w:tblGrid>
      <w:tr>
        <w:trPr>
          <w:tblHeader/>
          <w:trHeight w:val="400" w:hRule="atLeast"/>
        </w:trPr>
        <w:tc>
          <w:tcPr>
            <w:tcW w:type="pct" w:w="35%"/>
            <w:tcBorders>
              <w:top w:val="single" w:color="000000" w:sz="1"/>
              <w:left w:val="single" w:color="000000" w:sz="1"/>
              <w:bottom w:val="single" w:color="000000" w:sz="1"/>
              <w:right w:val="single" w:color="000000" w:sz="1"/>
            </w:tcBorders>
            <w:shd w:fill="475569" w:color="475569" w:val="solid"/>
            <w:vAlign w:val="center"/>
          </w:tcPr>
          <w:p>
            <w:pPr>
              <w:pStyle w:val="TableHeaderStyle"/>
              <w:jc w:val="center"/>
            </w:pPr>
            <w:r>
              <w:rPr>
                <w:b/>
                <w:bCs/>
                <w:color w:val="FFFFFF"/>
              </w:rPr>
              <w:t xml:space="preserve">Particulars</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TableHeaderStyle"/>
              <w:jc w:val="center"/>
            </w:pPr>
            <w:r>
              <w:rPr>
                <w:b/>
                <w:bCs/>
                <w:color w:val="FFFFFF"/>
              </w:rPr>
              <w:t xml:space="preserve">Rate</w:t>
            </w:r>
          </w:p>
        </w:tc>
        <w:tc>
          <w:tcPr>
            <w:tcW w:type="pct" w:w="10%"/>
            <w:tcBorders>
              <w:top w:val="single" w:color="000000" w:sz="1"/>
              <w:left w:val="single" w:color="000000" w:sz="1"/>
              <w:bottom w:val="single" w:color="000000" w:sz="1"/>
              <w:right w:val="single" w:color="000000" w:sz="1"/>
            </w:tcBorders>
            <w:shd w:fill="475569" w:color="475569" w:val="solid"/>
            <w:vAlign w:val="center"/>
          </w:tcPr>
          <w:p>
            <w:pPr>
              <w:pStyle w:val="TableHeaderStyle"/>
              <w:jc w:val="center"/>
            </w:pPr>
            <w:r>
              <w:rPr>
                <w:b/>
                <w:bCs/>
                <w:color w:val="FFFFFF"/>
              </w:rPr>
              <w:t xml:space="preserve">2024-2025</w:t>
            </w:r>
          </w:p>
          <w:p>
            <w:pPr>
              <w:pStyle w:val="TableHeaderStyle"/>
              <w:jc w:val="center"/>
            </w:pPr>
            <w:r>
              <w:rPr>
                <w:b/>
                <w:bCs/>
                <w:color w:val="FFFFFF"/>
              </w:rPr>
              <w:t xml:space="preserve">(actual)</w:t>
            </w:r>
          </w:p>
        </w:tc>
        <w:tc>
          <w:tcPr>
            <w:tcW w:type="pct" w:w="10%"/>
            <w:tcBorders>
              <w:top w:val="single" w:color="000000" w:sz="1"/>
              <w:left w:val="single" w:color="000000" w:sz="1"/>
              <w:bottom w:val="single" w:color="000000" w:sz="1"/>
              <w:right w:val="single" w:color="000000" w:sz="1"/>
            </w:tcBorders>
            <w:shd w:fill="475569" w:color="475569" w:val="solid"/>
            <w:vAlign w:val="center"/>
          </w:tcPr>
          <w:p>
            <w:pPr>
              <w:pStyle w:val="TableHeaderStyle"/>
              <w:jc w:val="center"/>
            </w:pPr>
            <w:r>
              <w:rPr>
                <w:b/>
                <w:bCs/>
                <w:color w:val="FFFFFF"/>
              </w:rPr>
              <w:t xml:space="preserve">2025-2026</w:t>
            </w:r>
          </w:p>
          <w:p>
            <w:pPr>
              <w:pStyle w:val="TableHeaderStyle"/>
              <w:jc w:val="center"/>
            </w:pPr>
            <w:r>
              <w:rPr>
                <w:b/>
                <w:bCs/>
                <w:color w:val="FFFFFF"/>
              </w:rPr>
              <w:t xml:space="preserve">(provisional)</w:t>
            </w:r>
          </w:p>
        </w:tc>
        <w:tc>
          <w:tcPr>
            <w:tcW w:type="pct" w:w="10%"/>
            <w:tcBorders>
              <w:top w:val="single" w:color="000000" w:sz="1"/>
              <w:left w:val="single" w:color="000000" w:sz="1"/>
              <w:bottom w:val="single" w:color="000000" w:sz="1"/>
              <w:right w:val="single" w:color="000000" w:sz="1"/>
            </w:tcBorders>
            <w:shd w:fill="475569" w:color="475569" w:val="solid"/>
            <w:vAlign w:val="center"/>
          </w:tcPr>
          <w:p>
            <w:pPr>
              <w:pStyle w:val="TableHeaderStyle"/>
              <w:jc w:val="center"/>
            </w:pPr>
            <w:r>
              <w:rPr>
                <w:b/>
                <w:bCs/>
                <w:color w:val="FFFFFF"/>
              </w:rPr>
              <w:t xml:space="preserve">2026-2027</w:t>
            </w:r>
          </w:p>
          <w:p>
            <w:pPr>
              <w:pStyle w:val="TableHeaderStyle"/>
              <w:jc w:val="center"/>
            </w:pPr>
            <w:r>
              <w:rPr>
                <w:b/>
                <w:bCs/>
                <w:color w:val="FFFFFF"/>
              </w:rPr>
              <w:t xml:space="preserve">(projected)</w:t>
            </w:r>
          </w:p>
        </w:tc>
        <w:tc>
          <w:tcPr>
            <w:tcW w:type="pct" w:w="10%"/>
            <w:tcBorders>
              <w:top w:val="single" w:color="000000" w:sz="1"/>
              <w:left w:val="single" w:color="000000" w:sz="1"/>
              <w:bottom w:val="single" w:color="000000" w:sz="1"/>
              <w:right w:val="single" w:color="000000" w:sz="1"/>
            </w:tcBorders>
            <w:shd w:fill="475569" w:color="475569" w:val="solid"/>
            <w:vAlign w:val="center"/>
          </w:tcPr>
          <w:p>
            <w:pPr>
              <w:pStyle w:val="TableHeaderStyle"/>
              <w:jc w:val="center"/>
            </w:pPr>
            <w:r>
              <w:rPr>
                <w:b/>
                <w:bCs/>
                <w:color w:val="FFFFFF"/>
              </w:rPr>
              <w:t xml:space="preserve">2027-2028</w:t>
            </w:r>
          </w:p>
          <w:p>
            <w:pPr>
              <w:pStyle w:val="TableHeaderStyle"/>
              <w:jc w:val="center"/>
            </w:pPr>
            <w:r>
              <w:rPr>
                <w:b/>
                <w:bCs/>
                <w:color w:val="FFFFFF"/>
              </w:rPr>
              <w:t xml:space="preserve">(projected)</w:t>
            </w:r>
          </w:p>
        </w:tc>
        <w:tc>
          <w:tcPr>
            <w:tcW w:type="pct" w:w="13%"/>
            <w:tcBorders>
              <w:top w:val="single" w:color="000000" w:sz="1"/>
              <w:left w:val="single" w:color="000000" w:sz="1"/>
              <w:bottom w:val="single" w:color="000000" w:sz="1"/>
              <w:right w:val="single" w:color="000000" w:sz="1"/>
            </w:tcBorders>
            <w:shd w:fill="475569" w:color="475569" w:val="solid"/>
            <w:vAlign w:val="center"/>
          </w:tcPr>
          <w:p>
            <w:pPr>
              <w:pStyle w:val="TableHeaderStyle"/>
              <w:jc w:val="center"/>
            </w:pPr>
            <w:r>
              <w:rPr>
                <w:b/>
                <w:bCs/>
                <w:color w:val="FFFFFF"/>
              </w:rPr>
              <w:t xml:space="preserve">2028-2029</w:t>
            </w:r>
          </w:p>
          <w:p>
            <w:pPr>
              <w:pStyle w:val="TableHeaderStyle"/>
              <w:jc w:val="center"/>
            </w:pPr>
            <w:r>
              <w:rPr>
                <w:b/>
                <w:bCs/>
                <w:color w:val="FFFFFF"/>
              </w:rPr>
              <w:t xml:space="preserve">(projected)</w:t>
            </w:r>
          </w:p>
        </w:tc>
      </w:tr>
      <w:tr>
        <w:trPr>
          <w:trHeight w:val="300" w:hRule="atLeast"/>
        </w:trPr>
        <w:tc>
          <w:tcPr>
            <w:tcW w:type="pct" w:w="3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Land</w:t>
            </w:r>
          </w:p>
        </w:tc>
        <w:tc>
          <w:tcPr>
            <w:tcW w:type="pct" w:w="12%"/>
            <w:tcBorders>
              <w:top w:val="single" w:color="000000" w:sz="1"/>
              <w:left w:val="single" w:color="000000" w:sz="1"/>
              <w:bottom w:val="single" w:color="000000" w:sz="1"/>
              <w:right w:val="single" w:color="000000" w:sz="1"/>
            </w:tcBorders>
            <w:vAlign w:val="center"/>
          </w:tcPr>
          <w:p>
            <w:pPr>
              <w:pStyle w:val="Default"/>
              <w:jc w:val="center"/>
            </w:pPr>
            <w:r>
              <w:rPr>
                <w:b w:val="false"/>
                <w:bCs w:val="false"/>
                <w:color w:val="000000"/>
              </w:rPr>
              <w:t xml:space="preserve">0%</w:t>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18,00,000.00</w:t>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18,00,000.00</w:t>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18,00,000.00</w:t>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18,00,000.00</w:t>
            </w:r>
          </w:p>
        </w:tc>
        <w:tc>
          <w:tcPr>
            <w:tcW w:type="pct" w:w="13%"/>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18,00,000.00</w:t>
            </w:r>
          </w:p>
        </w:tc>
      </w:tr>
      <w:tr>
        <w:trPr>
          <w:trHeight w:val="300" w:hRule="atLeast"/>
        </w:trPr>
        <w:tc>
          <w:tcPr>
            <w:tcW w:type="pct" w:w="3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During the Year (&gt;= 180 days)</w:t>
            </w:r>
          </w:p>
        </w:tc>
        <w:tc>
          <w:tcPr>
            <w:tcW w:type="pct" w:w="12%"/>
            <w:tcBorders>
              <w:top w:val="single" w:color="000000" w:sz="1"/>
              <w:left w:val="single" w:color="000000" w:sz="1"/>
              <w:bottom w:val="single" w:color="000000" w:sz="1"/>
              <w:right w:val="single" w:color="000000" w:sz="1"/>
            </w:tcBorders>
            <w:vAlign w:val="center"/>
          </w:tcPr>
          <w:p>
            <w:pPr>
              <w:pStyle w:val="Default"/>
              <w:jc w:val="center"/>
            </w:pPr>
            <w:r>
              <w:rPr>
                <w:b w:val="false"/>
                <w:bCs w:val="false"/>
                <w:color w:val="000000"/>
              </w:rPr>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3%"/>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r>
      <w:tr>
        <w:trPr>
          <w:trHeight w:val="300" w:hRule="atLeast"/>
        </w:trPr>
        <w:tc>
          <w:tcPr>
            <w:tcW w:type="pct" w:w="3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During the Year (&lt; 180 days)</w:t>
            </w:r>
          </w:p>
        </w:tc>
        <w:tc>
          <w:tcPr>
            <w:tcW w:type="pct" w:w="12%"/>
            <w:tcBorders>
              <w:top w:val="single" w:color="000000" w:sz="1"/>
              <w:left w:val="single" w:color="000000" w:sz="1"/>
              <w:bottom w:val="single" w:color="000000" w:sz="1"/>
              <w:right w:val="single" w:color="000000" w:sz="1"/>
            </w:tcBorders>
            <w:vAlign w:val="center"/>
          </w:tcPr>
          <w:p>
            <w:pPr>
              <w:pStyle w:val="Default"/>
              <w:jc w:val="center"/>
            </w:pPr>
            <w:r>
              <w:rPr>
                <w:b w:val="false"/>
                <w:bCs w:val="false"/>
                <w:color w:val="000000"/>
              </w:rPr>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3%"/>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r>
      <w:tr>
        <w:trPr>
          <w:trHeight w:val="300" w:hRule="atLeast"/>
        </w:trPr>
        <w:tc>
          <w:tcPr>
            <w:tcW w:type="pct" w:w="3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Total During the Year</w:t>
            </w:r>
          </w:p>
        </w:tc>
        <w:tc>
          <w:tcPr>
            <w:tcW w:type="pct" w:w="12%"/>
            <w:tcBorders>
              <w:top w:val="single" w:color="000000" w:sz="1"/>
              <w:left w:val="single" w:color="000000" w:sz="1"/>
              <w:bottom w:val="single" w:color="000000" w:sz="1"/>
              <w:right w:val="single" w:color="000000" w:sz="1"/>
            </w:tcBorders>
            <w:vAlign w:val="center"/>
          </w:tcPr>
          <w:p>
            <w:pPr>
              <w:pStyle w:val="Default"/>
              <w:jc w:val="center"/>
            </w:pPr>
            <w:r>
              <w:rPr>
                <w:b w:val="false"/>
                <w:bCs w:val="false"/>
                <w:color w:val="000000"/>
              </w:rPr>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3%"/>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r>
      <w:tr>
        <w:trPr>
          <w:trHeight w:val="300" w:hRule="atLeast"/>
        </w:trPr>
        <w:tc>
          <w:tcPr>
            <w:tcW w:type="pct" w:w="35%"/>
            <w:tcBorders>
              <w:top w:val="single" w:color="000000" w:sz="1"/>
              <w:left w:val="single" w:color="000000" w:sz="1"/>
              <w:bottom w:val="single" w:color="000000" w:sz="1"/>
              <w:right w:val="single" w:color="000000" w:sz="1"/>
            </w:tcBorders>
            <w:vAlign w:val="center"/>
          </w:tcPr>
          <w:p>
            <w:pPr>
              <w:pStyle w:val="Default"/>
              <w:jc w:val="left"/>
            </w:pPr>
            <w:r>
              <w:rPr>
                <w:b/>
                <w:bCs/>
                <w:color w:val="000000"/>
              </w:rPr>
              <w:t xml:space="preserve">Total</w:t>
            </w:r>
          </w:p>
        </w:tc>
        <w:tc>
          <w:tcPr>
            <w:tcW w:type="pct" w:w="12%"/>
            <w:tcBorders>
              <w:top w:val="single" w:color="000000" w:sz="1"/>
              <w:left w:val="single" w:color="000000" w:sz="1"/>
              <w:bottom w:val="single" w:color="000000" w:sz="1"/>
              <w:right w:val="single" w:color="000000" w:sz="1"/>
            </w:tcBorders>
            <w:vAlign w:val="center"/>
          </w:tcPr>
          <w:p>
            <w:pPr>
              <w:pStyle w:val="Default"/>
              <w:jc w:val="center"/>
            </w:pPr>
            <w:r>
              <w:rPr>
                <w:b w:val="false"/>
                <w:bCs w:val="false"/>
                <w:color w:val="000000"/>
              </w:rPr>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18,00,000.00</w:t>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18,00,000.00</w:t>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18,00,000.00</w:t>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18,00,000.00</w:t>
            </w:r>
          </w:p>
        </w:tc>
        <w:tc>
          <w:tcPr>
            <w:tcW w:type="pct" w:w="13%"/>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18,00,000.00</w:t>
            </w:r>
          </w:p>
        </w:tc>
      </w:tr>
      <w:tr>
        <w:trPr>
          <w:trHeight w:val="300" w:hRule="atLeast"/>
        </w:trPr>
        <w:tc>
          <w:tcPr>
            <w:tcW w:type="pct" w:w="3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Less Depreciation</w:t>
            </w:r>
          </w:p>
        </w:tc>
        <w:tc>
          <w:tcPr>
            <w:tcW w:type="pct" w:w="12%"/>
            <w:tcBorders>
              <w:top w:val="single" w:color="000000" w:sz="1"/>
              <w:left w:val="single" w:color="000000" w:sz="1"/>
              <w:bottom w:val="single" w:color="000000" w:sz="1"/>
              <w:right w:val="single" w:color="000000" w:sz="1"/>
            </w:tcBorders>
            <w:vAlign w:val="center"/>
          </w:tcPr>
          <w:p>
            <w:pPr>
              <w:pStyle w:val="Default"/>
              <w:jc w:val="center"/>
            </w:pPr>
            <w:r>
              <w:rPr>
                <w:b w:val="false"/>
                <w:bCs w:val="false"/>
                <w:color w:val="000000"/>
              </w:rPr>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3%"/>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r>
      <w:tr>
        <w:trPr>
          <w:trHeight w:val="300" w:hRule="atLeast"/>
        </w:trPr>
        <w:tc>
          <w:tcPr>
            <w:tcW w:type="pct" w:w="3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Adjust (Dep) (Add/Less)</w:t>
            </w:r>
          </w:p>
        </w:tc>
        <w:tc>
          <w:tcPr>
            <w:tcW w:type="pct" w:w="12%"/>
            <w:tcBorders>
              <w:top w:val="single" w:color="000000" w:sz="1"/>
              <w:left w:val="single" w:color="000000" w:sz="1"/>
              <w:bottom w:val="single" w:color="000000" w:sz="1"/>
              <w:right w:val="single" w:color="000000" w:sz="1"/>
            </w:tcBorders>
            <w:vAlign w:val="center"/>
          </w:tcPr>
          <w:p>
            <w:pPr>
              <w:pStyle w:val="Default"/>
              <w:jc w:val="center"/>
            </w:pPr>
            <w:r>
              <w:rPr>
                <w:b w:val="false"/>
                <w:bCs w:val="false"/>
                <w:color w:val="000000"/>
              </w:rPr>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3%"/>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r>
      <w:tr>
        <w:trPr>
          <w:trHeight w:val="300" w:hRule="atLeast"/>
        </w:trPr>
        <w:tc>
          <w:tcPr>
            <w:tcW w:type="pct" w:w="35%"/>
            <w:tcBorders>
              <w:top w:val="single" w:color="000000" w:sz="1"/>
              <w:left w:val="single" w:color="000000" w:sz="1"/>
              <w:bottom w:val="single" w:color="000000" w:sz="1"/>
              <w:right w:val="single" w:color="000000" w:sz="1"/>
            </w:tcBorders>
            <w:vAlign w:val="center"/>
          </w:tcPr>
          <w:p>
            <w:pPr>
              <w:pStyle w:val="Default"/>
              <w:jc w:val="left"/>
            </w:pPr>
            <w:r>
              <w:rPr>
                <w:b/>
                <w:bCs/>
                <w:color w:val="000000"/>
              </w:rPr>
              <w:t xml:space="preserve">Written down value</w:t>
            </w:r>
          </w:p>
        </w:tc>
        <w:tc>
          <w:tcPr>
            <w:tcW w:type="pct" w:w="12%"/>
            <w:tcBorders>
              <w:top w:val="single" w:color="000000" w:sz="1"/>
              <w:left w:val="single" w:color="000000" w:sz="1"/>
              <w:bottom w:val="single" w:color="000000" w:sz="1"/>
              <w:right w:val="single" w:color="000000" w:sz="1"/>
            </w:tcBorders>
            <w:vAlign w:val="center"/>
          </w:tcPr>
          <w:p>
            <w:pPr>
              <w:pStyle w:val="Default"/>
              <w:jc w:val="center"/>
            </w:pPr>
            <w:r>
              <w:rPr>
                <w:b w:val="false"/>
                <w:bCs w:val="false"/>
                <w:color w:val="000000"/>
              </w:rPr>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18,00,000.00</w:t>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18,00,000.00</w:t>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18,00,000.00</w:t>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18,00,000.00</w:t>
            </w:r>
          </w:p>
        </w:tc>
        <w:tc>
          <w:tcPr>
            <w:tcW w:type="pct" w:w="13%"/>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18,00,000.00</w:t>
            </w:r>
          </w:p>
        </w:tc>
      </w:tr>
      <w:tr>
        <w:trPr>
          <w:trHeight w:val="300" w:hRule="atLeast"/>
        </w:trPr>
        <w:tc>
          <w:tcPr>
            <w:tcW w:type="pct" w:w="3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Building</w:t>
            </w:r>
          </w:p>
        </w:tc>
        <w:tc>
          <w:tcPr>
            <w:tcW w:type="pct" w:w="12%"/>
            <w:tcBorders>
              <w:top w:val="single" w:color="000000" w:sz="1"/>
              <w:left w:val="single" w:color="000000" w:sz="1"/>
              <w:bottom w:val="single" w:color="000000" w:sz="1"/>
              <w:right w:val="single" w:color="000000" w:sz="1"/>
            </w:tcBorders>
            <w:vAlign w:val="center"/>
          </w:tcPr>
          <w:p>
            <w:pPr>
              <w:pStyle w:val="Default"/>
              <w:jc w:val="center"/>
            </w:pPr>
            <w:r>
              <w:rPr>
                <w:b w:val="false"/>
                <w:bCs w:val="false"/>
                <w:color w:val="000000"/>
              </w:rPr>
              <w:t xml:space="preserve">10%</w:t>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45,00,000.00</w:t>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40,50,000.00</w:t>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36,45,000.00</w:t>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32,80,500.00</w:t>
            </w:r>
          </w:p>
        </w:tc>
        <w:tc>
          <w:tcPr>
            <w:tcW w:type="pct" w:w="13%"/>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29,52,450.00</w:t>
            </w:r>
          </w:p>
        </w:tc>
      </w:tr>
      <w:tr>
        <w:trPr>
          <w:trHeight w:val="300" w:hRule="atLeast"/>
        </w:trPr>
        <w:tc>
          <w:tcPr>
            <w:tcW w:type="pct" w:w="3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During the Year (&gt;= 180 days)</w:t>
            </w:r>
          </w:p>
        </w:tc>
        <w:tc>
          <w:tcPr>
            <w:tcW w:type="pct" w:w="12%"/>
            <w:tcBorders>
              <w:top w:val="single" w:color="000000" w:sz="1"/>
              <w:left w:val="single" w:color="000000" w:sz="1"/>
              <w:bottom w:val="single" w:color="000000" w:sz="1"/>
              <w:right w:val="single" w:color="000000" w:sz="1"/>
            </w:tcBorders>
            <w:vAlign w:val="center"/>
          </w:tcPr>
          <w:p>
            <w:pPr>
              <w:pStyle w:val="Default"/>
              <w:jc w:val="center"/>
            </w:pPr>
            <w:r>
              <w:rPr>
                <w:b w:val="false"/>
                <w:bCs w:val="false"/>
                <w:color w:val="000000"/>
              </w:rPr>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3%"/>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r>
      <w:tr>
        <w:trPr>
          <w:trHeight w:val="300" w:hRule="atLeast"/>
        </w:trPr>
        <w:tc>
          <w:tcPr>
            <w:tcW w:type="pct" w:w="3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During the Year (&lt; 180 days)</w:t>
            </w:r>
          </w:p>
        </w:tc>
        <w:tc>
          <w:tcPr>
            <w:tcW w:type="pct" w:w="12%"/>
            <w:tcBorders>
              <w:top w:val="single" w:color="000000" w:sz="1"/>
              <w:left w:val="single" w:color="000000" w:sz="1"/>
              <w:bottom w:val="single" w:color="000000" w:sz="1"/>
              <w:right w:val="single" w:color="000000" w:sz="1"/>
            </w:tcBorders>
            <w:vAlign w:val="center"/>
          </w:tcPr>
          <w:p>
            <w:pPr>
              <w:pStyle w:val="Default"/>
              <w:jc w:val="center"/>
            </w:pPr>
            <w:r>
              <w:rPr>
                <w:b w:val="false"/>
                <w:bCs w:val="false"/>
                <w:color w:val="000000"/>
              </w:rPr>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3%"/>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r>
      <w:tr>
        <w:trPr>
          <w:trHeight w:val="300" w:hRule="atLeast"/>
        </w:trPr>
        <w:tc>
          <w:tcPr>
            <w:tcW w:type="pct" w:w="3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Total During the Year</w:t>
            </w:r>
          </w:p>
        </w:tc>
        <w:tc>
          <w:tcPr>
            <w:tcW w:type="pct" w:w="12%"/>
            <w:tcBorders>
              <w:top w:val="single" w:color="000000" w:sz="1"/>
              <w:left w:val="single" w:color="000000" w:sz="1"/>
              <w:bottom w:val="single" w:color="000000" w:sz="1"/>
              <w:right w:val="single" w:color="000000" w:sz="1"/>
            </w:tcBorders>
            <w:vAlign w:val="center"/>
          </w:tcPr>
          <w:p>
            <w:pPr>
              <w:pStyle w:val="Default"/>
              <w:jc w:val="center"/>
            </w:pPr>
            <w:r>
              <w:rPr>
                <w:b w:val="false"/>
                <w:bCs w:val="false"/>
                <w:color w:val="000000"/>
              </w:rPr>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3%"/>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r>
      <w:tr>
        <w:trPr>
          <w:trHeight w:val="300" w:hRule="atLeast"/>
        </w:trPr>
        <w:tc>
          <w:tcPr>
            <w:tcW w:type="pct" w:w="35%"/>
            <w:tcBorders>
              <w:top w:val="single" w:color="000000" w:sz="1"/>
              <w:left w:val="single" w:color="000000" w:sz="1"/>
              <w:bottom w:val="single" w:color="000000" w:sz="1"/>
              <w:right w:val="single" w:color="000000" w:sz="1"/>
            </w:tcBorders>
            <w:vAlign w:val="center"/>
          </w:tcPr>
          <w:p>
            <w:pPr>
              <w:pStyle w:val="Default"/>
              <w:jc w:val="left"/>
            </w:pPr>
            <w:r>
              <w:rPr>
                <w:b/>
                <w:bCs/>
                <w:color w:val="000000"/>
              </w:rPr>
              <w:t xml:space="preserve">Total</w:t>
            </w:r>
          </w:p>
        </w:tc>
        <w:tc>
          <w:tcPr>
            <w:tcW w:type="pct" w:w="12%"/>
            <w:tcBorders>
              <w:top w:val="single" w:color="000000" w:sz="1"/>
              <w:left w:val="single" w:color="000000" w:sz="1"/>
              <w:bottom w:val="single" w:color="000000" w:sz="1"/>
              <w:right w:val="single" w:color="000000" w:sz="1"/>
            </w:tcBorders>
            <w:vAlign w:val="center"/>
          </w:tcPr>
          <w:p>
            <w:pPr>
              <w:pStyle w:val="Default"/>
              <w:jc w:val="center"/>
            </w:pPr>
            <w:r>
              <w:rPr>
                <w:b w:val="false"/>
                <w:bCs w:val="false"/>
                <w:color w:val="000000"/>
              </w:rPr>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45,00,000.00</w:t>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40,50,000.00</w:t>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36,45,000.00</w:t>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32,80,500.00</w:t>
            </w:r>
          </w:p>
        </w:tc>
        <w:tc>
          <w:tcPr>
            <w:tcW w:type="pct" w:w="13%"/>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29,52,450.00</w:t>
            </w:r>
          </w:p>
        </w:tc>
      </w:tr>
      <w:tr>
        <w:trPr>
          <w:trHeight w:val="300" w:hRule="atLeast"/>
        </w:trPr>
        <w:tc>
          <w:tcPr>
            <w:tcW w:type="pct" w:w="3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Less Depreciation</w:t>
            </w:r>
          </w:p>
        </w:tc>
        <w:tc>
          <w:tcPr>
            <w:tcW w:type="pct" w:w="12%"/>
            <w:tcBorders>
              <w:top w:val="single" w:color="000000" w:sz="1"/>
              <w:left w:val="single" w:color="000000" w:sz="1"/>
              <w:bottom w:val="single" w:color="000000" w:sz="1"/>
              <w:right w:val="single" w:color="000000" w:sz="1"/>
            </w:tcBorders>
            <w:vAlign w:val="center"/>
          </w:tcPr>
          <w:p>
            <w:pPr>
              <w:pStyle w:val="Default"/>
              <w:jc w:val="center"/>
            </w:pPr>
            <w:r>
              <w:rPr>
                <w:b w:val="false"/>
                <w:bCs w:val="false"/>
                <w:color w:val="000000"/>
              </w:rPr>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4,50,000.00</w:t>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4,05,000.00</w:t>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3,64,500.00</w:t>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3,28,050.00</w:t>
            </w:r>
          </w:p>
        </w:tc>
        <w:tc>
          <w:tcPr>
            <w:tcW w:type="pct" w:w="13%"/>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2,95,245.00</w:t>
            </w:r>
          </w:p>
        </w:tc>
      </w:tr>
      <w:tr>
        <w:trPr>
          <w:trHeight w:val="300" w:hRule="atLeast"/>
        </w:trPr>
        <w:tc>
          <w:tcPr>
            <w:tcW w:type="pct" w:w="3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Adjust (Dep) (Add/Less)</w:t>
            </w:r>
          </w:p>
        </w:tc>
        <w:tc>
          <w:tcPr>
            <w:tcW w:type="pct" w:w="12%"/>
            <w:tcBorders>
              <w:top w:val="single" w:color="000000" w:sz="1"/>
              <w:left w:val="single" w:color="000000" w:sz="1"/>
              <w:bottom w:val="single" w:color="000000" w:sz="1"/>
              <w:right w:val="single" w:color="000000" w:sz="1"/>
            </w:tcBorders>
            <w:vAlign w:val="center"/>
          </w:tcPr>
          <w:p>
            <w:pPr>
              <w:pStyle w:val="Default"/>
              <w:jc w:val="center"/>
            </w:pPr>
            <w:r>
              <w:rPr>
                <w:b w:val="false"/>
                <w:bCs w:val="false"/>
                <w:color w:val="000000"/>
              </w:rPr>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3%"/>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r>
      <w:tr>
        <w:trPr>
          <w:trHeight w:val="300" w:hRule="atLeast"/>
        </w:trPr>
        <w:tc>
          <w:tcPr>
            <w:tcW w:type="pct" w:w="35%"/>
            <w:tcBorders>
              <w:top w:val="single" w:color="000000" w:sz="1"/>
              <w:left w:val="single" w:color="000000" w:sz="1"/>
              <w:bottom w:val="single" w:color="000000" w:sz="1"/>
              <w:right w:val="single" w:color="000000" w:sz="1"/>
            </w:tcBorders>
            <w:vAlign w:val="center"/>
          </w:tcPr>
          <w:p>
            <w:pPr>
              <w:pStyle w:val="Default"/>
              <w:jc w:val="left"/>
            </w:pPr>
            <w:r>
              <w:rPr>
                <w:b/>
                <w:bCs/>
                <w:color w:val="000000"/>
              </w:rPr>
              <w:t xml:space="preserve">Written down value</w:t>
            </w:r>
          </w:p>
        </w:tc>
        <w:tc>
          <w:tcPr>
            <w:tcW w:type="pct" w:w="12%"/>
            <w:tcBorders>
              <w:top w:val="single" w:color="000000" w:sz="1"/>
              <w:left w:val="single" w:color="000000" w:sz="1"/>
              <w:bottom w:val="single" w:color="000000" w:sz="1"/>
              <w:right w:val="single" w:color="000000" w:sz="1"/>
            </w:tcBorders>
            <w:vAlign w:val="center"/>
          </w:tcPr>
          <w:p>
            <w:pPr>
              <w:pStyle w:val="Default"/>
              <w:jc w:val="center"/>
            </w:pPr>
            <w:r>
              <w:rPr>
                <w:b w:val="false"/>
                <w:bCs w:val="false"/>
                <w:color w:val="000000"/>
              </w:rPr>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40,50,000.00</w:t>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36,45,000.00</w:t>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32,80,500.00</w:t>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29,52,450.00</w:t>
            </w:r>
          </w:p>
        </w:tc>
        <w:tc>
          <w:tcPr>
            <w:tcW w:type="pct" w:w="13%"/>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26,57,205.00</w:t>
            </w:r>
          </w:p>
        </w:tc>
      </w:tr>
      <w:tr>
        <w:trPr>
          <w:trHeight w:val="300" w:hRule="atLeast"/>
        </w:trPr>
        <w:tc>
          <w:tcPr>
            <w:tcW w:type="pct" w:w="3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Furniture &amp; Fixtures</w:t>
            </w:r>
          </w:p>
        </w:tc>
        <w:tc>
          <w:tcPr>
            <w:tcW w:type="pct" w:w="12%"/>
            <w:tcBorders>
              <w:top w:val="single" w:color="000000" w:sz="1"/>
              <w:left w:val="single" w:color="000000" w:sz="1"/>
              <w:bottom w:val="single" w:color="000000" w:sz="1"/>
              <w:right w:val="single" w:color="000000" w:sz="1"/>
            </w:tcBorders>
            <w:vAlign w:val="center"/>
          </w:tcPr>
          <w:p>
            <w:pPr>
              <w:pStyle w:val="Default"/>
              <w:jc w:val="center"/>
            </w:pPr>
            <w:r>
              <w:rPr>
                <w:b w:val="false"/>
                <w:bCs w:val="false"/>
                <w:color w:val="000000"/>
              </w:rPr>
              <w:t xml:space="preserve">10%</w:t>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9,00,000.00</w:t>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8,10,000.00</w:t>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7,29,000.00</w:t>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6,56,100.00</w:t>
            </w:r>
          </w:p>
        </w:tc>
        <w:tc>
          <w:tcPr>
            <w:tcW w:type="pct" w:w="13%"/>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5,90,490.00</w:t>
            </w:r>
          </w:p>
        </w:tc>
      </w:tr>
      <w:tr>
        <w:trPr>
          <w:trHeight w:val="300" w:hRule="atLeast"/>
        </w:trPr>
        <w:tc>
          <w:tcPr>
            <w:tcW w:type="pct" w:w="3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During the Year (&gt;= 180 days)</w:t>
            </w:r>
          </w:p>
        </w:tc>
        <w:tc>
          <w:tcPr>
            <w:tcW w:type="pct" w:w="12%"/>
            <w:tcBorders>
              <w:top w:val="single" w:color="000000" w:sz="1"/>
              <w:left w:val="single" w:color="000000" w:sz="1"/>
              <w:bottom w:val="single" w:color="000000" w:sz="1"/>
              <w:right w:val="single" w:color="000000" w:sz="1"/>
            </w:tcBorders>
            <w:vAlign w:val="center"/>
          </w:tcPr>
          <w:p>
            <w:pPr>
              <w:pStyle w:val="Default"/>
              <w:jc w:val="center"/>
            </w:pPr>
            <w:r>
              <w:rPr>
                <w:b w:val="false"/>
                <w:bCs w:val="false"/>
                <w:color w:val="000000"/>
              </w:rPr>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3%"/>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r>
      <w:tr>
        <w:trPr>
          <w:trHeight w:val="300" w:hRule="atLeast"/>
        </w:trPr>
        <w:tc>
          <w:tcPr>
            <w:tcW w:type="pct" w:w="3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During the Year (&lt; 180 days)</w:t>
            </w:r>
          </w:p>
        </w:tc>
        <w:tc>
          <w:tcPr>
            <w:tcW w:type="pct" w:w="12%"/>
            <w:tcBorders>
              <w:top w:val="single" w:color="000000" w:sz="1"/>
              <w:left w:val="single" w:color="000000" w:sz="1"/>
              <w:bottom w:val="single" w:color="000000" w:sz="1"/>
              <w:right w:val="single" w:color="000000" w:sz="1"/>
            </w:tcBorders>
            <w:vAlign w:val="center"/>
          </w:tcPr>
          <w:p>
            <w:pPr>
              <w:pStyle w:val="Default"/>
              <w:jc w:val="center"/>
            </w:pPr>
            <w:r>
              <w:rPr>
                <w:b w:val="false"/>
                <w:bCs w:val="false"/>
                <w:color w:val="000000"/>
              </w:rPr>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3%"/>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r>
      <w:tr>
        <w:trPr>
          <w:trHeight w:val="300" w:hRule="atLeast"/>
        </w:trPr>
        <w:tc>
          <w:tcPr>
            <w:tcW w:type="pct" w:w="3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Total During the Year</w:t>
            </w:r>
          </w:p>
        </w:tc>
        <w:tc>
          <w:tcPr>
            <w:tcW w:type="pct" w:w="12%"/>
            <w:tcBorders>
              <w:top w:val="single" w:color="000000" w:sz="1"/>
              <w:left w:val="single" w:color="000000" w:sz="1"/>
              <w:bottom w:val="single" w:color="000000" w:sz="1"/>
              <w:right w:val="single" w:color="000000" w:sz="1"/>
            </w:tcBorders>
            <w:vAlign w:val="center"/>
          </w:tcPr>
          <w:p>
            <w:pPr>
              <w:pStyle w:val="Default"/>
              <w:jc w:val="center"/>
            </w:pPr>
            <w:r>
              <w:rPr>
                <w:b w:val="false"/>
                <w:bCs w:val="false"/>
                <w:color w:val="000000"/>
              </w:rPr>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3%"/>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r>
      <w:tr>
        <w:trPr>
          <w:trHeight w:val="300" w:hRule="atLeast"/>
        </w:trPr>
        <w:tc>
          <w:tcPr>
            <w:tcW w:type="pct" w:w="35%"/>
            <w:tcBorders>
              <w:top w:val="single" w:color="000000" w:sz="1"/>
              <w:left w:val="single" w:color="000000" w:sz="1"/>
              <w:bottom w:val="single" w:color="000000" w:sz="1"/>
              <w:right w:val="single" w:color="000000" w:sz="1"/>
            </w:tcBorders>
            <w:vAlign w:val="center"/>
          </w:tcPr>
          <w:p>
            <w:pPr>
              <w:pStyle w:val="Default"/>
              <w:jc w:val="left"/>
            </w:pPr>
            <w:r>
              <w:rPr>
                <w:b/>
                <w:bCs/>
                <w:color w:val="000000"/>
              </w:rPr>
              <w:t xml:space="preserve">Total</w:t>
            </w:r>
          </w:p>
        </w:tc>
        <w:tc>
          <w:tcPr>
            <w:tcW w:type="pct" w:w="12%"/>
            <w:tcBorders>
              <w:top w:val="single" w:color="000000" w:sz="1"/>
              <w:left w:val="single" w:color="000000" w:sz="1"/>
              <w:bottom w:val="single" w:color="000000" w:sz="1"/>
              <w:right w:val="single" w:color="000000" w:sz="1"/>
            </w:tcBorders>
            <w:vAlign w:val="center"/>
          </w:tcPr>
          <w:p>
            <w:pPr>
              <w:pStyle w:val="Default"/>
              <w:jc w:val="center"/>
            </w:pPr>
            <w:r>
              <w:rPr>
                <w:b w:val="false"/>
                <w:bCs w:val="false"/>
                <w:color w:val="000000"/>
              </w:rPr>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9,00,000.00</w:t>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8,10,000.00</w:t>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7,29,000.00</w:t>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6,56,100.00</w:t>
            </w:r>
          </w:p>
        </w:tc>
        <w:tc>
          <w:tcPr>
            <w:tcW w:type="pct" w:w="13%"/>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5,90,490.00</w:t>
            </w:r>
          </w:p>
        </w:tc>
      </w:tr>
      <w:tr>
        <w:trPr>
          <w:trHeight w:val="300" w:hRule="atLeast"/>
        </w:trPr>
        <w:tc>
          <w:tcPr>
            <w:tcW w:type="pct" w:w="3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Less Depreciation</w:t>
            </w:r>
          </w:p>
        </w:tc>
        <w:tc>
          <w:tcPr>
            <w:tcW w:type="pct" w:w="12%"/>
            <w:tcBorders>
              <w:top w:val="single" w:color="000000" w:sz="1"/>
              <w:left w:val="single" w:color="000000" w:sz="1"/>
              <w:bottom w:val="single" w:color="000000" w:sz="1"/>
              <w:right w:val="single" w:color="000000" w:sz="1"/>
            </w:tcBorders>
            <w:vAlign w:val="center"/>
          </w:tcPr>
          <w:p>
            <w:pPr>
              <w:pStyle w:val="Default"/>
              <w:jc w:val="center"/>
            </w:pPr>
            <w:r>
              <w:rPr>
                <w:b w:val="false"/>
                <w:bCs w:val="false"/>
                <w:color w:val="000000"/>
              </w:rPr>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90,000.00</w:t>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81,000.00</w:t>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72,900.00</w:t>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65,610.00</w:t>
            </w:r>
          </w:p>
        </w:tc>
        <w:tc>
          <w:tcPr>
            <w:tcW w:type="pct" w:w="13%"/>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59,049.00</w:t>
            </w:r>
          </w:p>
        </w:tc>
      </w:tr>
      <w:tr>
        <w:trPr>
          <w:trHeight w:val="300" w:hRule="atLeast"/>
        </w:trPr>
        <w:tc>
          <w:tcPr>
            <w:tcW w:type="pct" w:w="3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Adjust (Dep) (Add/Less)</w:t>
            </w:r>
          </w:p>
        </w:tc>
        <w:tc>
          <w:tcPr>
            <w:tcW w:type="pct" w:w="12%"/>
            <w:tcBorders>
              <w:top w:val="single" w:color="000000" w:sz="1"/>
              <w:left w:val="single" w:color="000000" w:sz="1"/>
              <w:bottom w:val="single" w:color="000000" w:sz="1"/>
              <w:right w:val="single" w:color="000000" w:sz="1"/>
            </w:tcBorders>
            <w:vAlign w:val="center"/>
          </w:tcPr>
          <w:p>
            <w:pPr>
              <w:pStyle w:val="Default"/>
              <w:jc w:val="center"/>
            </w:pPr>
            <w:r>
              <w:rPr>
                <w:b w:val="false"/>
                <w:bCs w:val="false"/>
                <w:color w:val="000000"/>
              </w:rPr>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3%"/>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r>
      <w:tr>
        <w:trPr>
          <w:trHeight w:val="300" w:hRule="atLeast"/>
        </w:trPr>
        <w:tc>
          <w:tcPr>
            <w:tcW w:type="pct" w:w="35%"/>
            <w:tcBorders>
              <w:top w:val="single" w:color="000000" w:sz="1"/>
              <w:left w:val="single" w:color="000000" w:sz="1"/>
              <w:bottom w:val="single" w:color="000000" w:sz="1"/>
              <w:right w:val="single" w:color="000000" w:sz="1"/>
            </w:tcBorders>
            <w:vAlign w:val="center"/>
          </w:tcPr>
          <w:p>
            <w:pPr>
              <w:pStyle w:val="Default"/>
              <w:jc w:val="left"/>
            </w:pPr>
            <w:r>
              <w:rPr>
                <w:b/>
                <w:bCs/>
                <w:color w:val="000000"/>
              </w:rPr>
              <w:t xml:space="preserve">Written down value</w:t>
            </w:r>
          </w:p>
        </w:tc>
        <w:tc>
          <w:tcPr>
            <w:tcW w:type="pct" w:w="12%"/>
            <w:tcBorders>
              <w:top w:val="single" w:color="000000" w:sz="1"/>
              <w:left w:val="single" w:color="000000" w:sz="1"/>
              <w:bottom w:val="single" w:color="000000" w:sz="1"/>
              <w:right w:val="single" w:color="000000" w:sz="1"/>
            </w:tcBorders>
            <w:vAlign w:val="center"/>
          </w:tcPr>
          <w:p>
            <w:pPr>
              <w:pStyle w:val="Default"/>
              <w:jc w:val="center"/>
            </w:pPr>
            <w:r>
              <w:rPr>
                <w:b w:val="false"/>
                <w:bCs w:val="false"/>
                <w:color w:val="000000"/>
              </w:rPr>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8,10,000.00</w:t>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7,29,000.00</w:t>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6,56,100.00</w:t>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5,90,490.00</w:t>
            </w:r>
          </w:p>
        </w:tc>
        <w:tc>
          <w:tcPr>
            <w:tcW w:type="pct" w:w="13%"/>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5,31,441.00</w:t>
            </w:r>
          </w:p>
        </w:tc>
      </w:tr>
      <w:tr>
        <w:trPr>
          <w:trHeight w:val="300" w:hRule="atLeast"/>
        </w:trPr>
        <w:tc>
          <w:tcPr>
            <w:tcW w:type="pct" w:w="3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Plant &amp; Machinery</w:t>
            </w:r>
          </w:p>
        </w:tc>
        <w:tc>
          <w:tcPr>
            <w:tcW w:type="pct" w:w="12%"/>
            <w:tcBorders>
              <w:top w:val="single" w:color="000000" w:sz="1"/>
              <w:left w:val="single" w:color="000000" w:sz="1"/>
              <w:bottom w:val="single" w:color="000000" w:sz="1"/>
              <w:right w:val="single" w:color="000000" w:sz="1"/>
            </w:tcBorders>
            <w:vAlign w:val="center"/>
          </w:tcPr>
          <w:p>
            <w:pPr>
              <w:pStyle w:val="Default"/>
              <w:jc w:val="center"/>
            </w:pPr>
            <w:r>
              <w:rPr>
                <w:b w:val="false"/>
                <w:bCs w:val="false"/>
                <w:color w:val="000000"/>
              </w:rPr>
              <w:t xml:space="preserve">15%</w:t>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81,00,000.00</w:t>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68,85,000.00</w:t>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58,52,250.00</w:t>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49,74,412.50</w:t>
            </w:r>
          </w:p>
        </w:tc>
        <w:tc>
          <w:tcPr>
            <w:tcW w:type="pct" w:w="13%"/>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42,28,250.63</w:t>
            </w:r>
          </w:p>
        </w:tc>
      </w:tr>
      <w:tr>
        <w:trPr>
          <w:trHeight w:val="300" w:hRule="atLeast"/>
        </w:trPr>
        <w:tc>
          <w:tcPr>
            <w:tcW w:type="pct" w:w="3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During the Year (&gt;= 180 days)</w:t>
            </w:r>
          </w:p>
        </w:tc>
        <w:tc>
          <w:tcPr>
            <w:tcW w:type="pct" w:w="12%"/>
            <w:tcBorders>
              <w:top w:val="single" w:color="000000" w:sz="1"/>
              <w:left w:val="single" w:color="000000" w:sz="1"/>
              <w:bottom w:val="single" w:color="000000" w:sz="1"/>
              <w:right w:val="single" w:color="000000" w:sz="1"/>
            </w:tcBorders>
            <w:vAlign w:val="center"/>
          </w:tcPr>
          <w:p>
            <w:pPr>
              <w:pStyle w:val="Default"/>
              <w:jc w:val="center"/>
            </w:pPr>
            <w:r>
              <w:rPr>
                <w:b w:val="false"/>
                <w:bCs w:val="false"/>
                <w:color w:val="000000"/>
              </w:rPr>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3%"/>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r>
      <w:tr>
        <w:trPr>
          <w:trHeight w:val="300" w:hRule="atLeast"/>
        </w:trPr>
        <w:tc>
          <w:tcPr>
            <w:tcW w:type="pct" w:w="3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During the Year (&lt; 180 days)</w:t>
            </w:r>
          </w:p>
        </w:tc>
        <w:tc>
          <w:tcPr>
            <w:tcW w:type="pct" w:w="12%"/>
            <w:tcBorders>
              <w:top w:val="single" w:color="000000" w:sz="1"/>
              <w:left w:val="single" w:color="000000" w:sz="1"/>
              <w:bottom w:val="single" w:color="000000" w:sz="1"/>
              <w:right w:val="single" w:color="000000" w:sz="1"/>
            </w:tcBorders>
            <w:vAlign w:val="center"/>
          </w:tcPr>
          <w:p>
            <w:pPr>
              <w:pStyle w:val="Default"/>
              <w:jc w:val="center"/>
            </w:pPr>
            <w:r>
              <w:rPr>
                <w:b w:val="false"/>
                <w:bCs w:val="false"/>
                <w:color w:val="000000"/>
              </w:rPr>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3%"/>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r>
      <w:tr>
        <w:trPr>
          <w:trHeight w:val="300" w:hRule="atLeast"/>
        </w:trPr>
        <w:tc>
          <w:tcPr>
            <w:tcW w:type="pct" w:w="3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Total During the Year</w:t>
            </w:r>
          </w:p>
        </w:tc>
        <w:tc>
          <w:tcPr>
            <w:tcW w:type="pct" w:w="12%"/>
            <w:tcBorders>
              <w:top w:val="single" w:color="000000" w:sz="1"/>
              <w:left w:val="single" w:color="000000" w:sz="1"/>
              <w:bottom w:val="single" w:color="000000" w:sz="1"/>
              <w:right w:val="single" w:color="000000" w:sz="1"/>
            </w:tcBorders>
            <w:vAlign w:val="center"/>
          </w:tcPr>
          <w:p>
            <w:pPr>
              <w:pStyle w:val="Default"/>
              <w:jc w:val="center"/>
            </w:pPr>
            <w:r>
              <w:rPr>
                <w:b w:val="false"/>
                <w:bCs w:val="false"/>
                <w:color w:val="000000"/>
              </w:rPr>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3%"/>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r>
      <w:tr>
        <w:trPr>
          <w:trHeight w:val="300" w:hRule="atLeast"/>
        </w:trPr>
        <w:tc>
          <w:tcPr>
            <w:tcW w:type="pct" w:w="35%"/>
            <w:tcBorders>
              <w:top w:val="single" w:color="000000" w:sz="1"/>
              <w:left w:val="single" w:color="000000" w:sz="1"/>
              <w:bottom w:val="single" w:color="000000" w:sz="1"/>
              <w:right w:val="single" w:color="000000" w:sz="1"/>
            </w:tcBorders>
            <w:vAlign w:val="center"/>
          </w:tcPr>
          <w:p>
            <w:pPr>
              <w:pStyle w:val="Default"/>
              <w:jc w:val="left"/>
            </w:pPr>
            <w:r>
              <w:rPr>
                <w:b/>
                <w:bCs/>
                <w:color w:val="000000"/>
              </w:rPr>
              <w:t xml:space="preserve">Total</w:t>
            </w:r>
          </w:p>
        </w:tc>
        <w:tc>
          <w:tcPr>
            <w:tcW w:type="pct" w:w="12%"/>
            <w:tcBorders>
              <w:top w:val="single" w:color="000000" w:sz="1"/>
              <w:left w:val="single" w:color="000000" w:sz="1"/>
              <w:bottom w:val="single" w:color="000000" w:sz="1"/>
              <w:right w:val="single" w:color="000000" w:sz="1"/>
            </w:tcBorders>
            <w:vAlign w:val="center"/>
          </w:tcPr>
          <w:p>
            <w:pPr>
              <w:pStyle w:val="Default"/>
              <w:jc w:val="center"/>
            </w:pPr>
            <w:r>
              <w:rPr>
                <w:b w:val="false"/>
                <w:bCs w:val="false"/>
                <w:color w:val="000000"/>
              </w:rPr>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81,00,000.00</w:t>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68,85,000.00</w:t>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58,52,250.00</w:t>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49,74,412.50</w:t>
            </w:r>
          </w:p>
        </w:tc>
        <w:tc>
          <w:tcPr>
            <w:tcW w:type="pct" w:w="13%"/>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42,28,250.63</w:t>
            </w:r>
          </w:p>
        </w:tc>
      </w:tr>
      <w:tr>
        <w:trPr>
          <w:trHeight w:val="300" w:hRule="atLeast"/>
        </w:trPr>
        <w:tc>
          <w:tcPr>
            <w:tcW w:type="pct" w:w="3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Less Depreciation</w:t>
            </w:r>
          </w:p>
        </w:tc>
        <w:tc>
          <w:tcPr>
            <w:tcW w:type="pct" w:w="12%"/>
            <w:tcBorders>
              <w:top w:val="single" w:color="000000" w:sz="1"/>
              <w:left w:val="single" w:color="000000" w:sz="1"/>
              <w:bottom w:val="single" w:color="000000" w:sz="1"/>
              <w:right w:val="single" w:color="000000" w:sz="1"/>
            </w:tcBorders>
            <w:vAlign w:val="center"/>
          </w:tcPr>
          <w:p>
            <w:pPr>
              <w:pStyle w:val="Default"/>
              <w:jc w:val="center"/>
            </w:pPr>
            <w:r>
              <w:rPr>
                <w:b w:val="false"/>
                <w:bCs w:val="false"/>
                <w:color w:val="000000"/>
              </w:rPr>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12,15,000.00</w:t>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10,32,750.00</w:t>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8,77,837.50</w:t>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7,46,161.88</w:t>
            </w:r>
          </w:p>
        </w:tc>
        <w:tc>
          <w:tcPr>
            <w:tcW w:type="pct" w:w="13%"/>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6,34,237.59</w:t>
            </w:r>
          </w:p>
        </w:tc>
      </w:tr>
      <w:tr>
        <w:trPr>
          <w:trHeight w:val="300" w:hRule="atLeast"/>
        </w:trPr>
        <w:tc>
          <w:tcPr>
            <w:tcW w:type="pct" w:w="3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Adjust (Dep) (Add/Less)</w:t>
            </w:r>
          </w:p>
        </w:tc>
        <w:tc>
          <w:tcPr>
            <w:tcW w:type="pct" w:w="12%"/>
            <w:tcBorders>
              <w:top w:val="single" w:color="000000" w:sz="1"/>
              <w:left w:val="single" w:color="000000" w:sz="1"/>
              <w:bottom w:val="single" w:color="000000" w:sz="1"/>
              <w:right w:val="single" w:color="000000" w:sz="1"/>
            </w:tcBorders>
            <w:vAlign w:val="center"/>
          </w:tcPr>
          <w:p>
            <w:pPr>
              <w:pStyle w:val="Default"/>
              <w:jc w:val="center"/>
            </w:pPr>
            <w:r>
              <w:rPr>
                <w:b w:val="false"/>
                <w:bCs w:val="false"/>
                <w:color w:val="000000"/>
              </w:rPr>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3%"/>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r>
      <w:tr>
        <w:trPr>
          <w:trHeight w:val="300" w:hRule="atLeast"/>
        </w:trPr>
        <w:tc>
          <w:tcPr>
            <w:tcW w:type="pct" w:w="35%"/>
            <w:tcBorders>
              <w:top w:val="single" w:color="000000" w:sz="1"/>
              <w:left w:val="single" w:color="000000" w:sz="1"/>
              <w:bottom w:val="single" w:color="000000" w:sz="1"/>
              <w:right w:val="single" w:color="000000" w:sz="1"/>
            </w:tcBorders>
            <w:vAlign w:val="center"/>
          </w:tcPr>
          <w:p>
            <w:pPr>
              <w:pStyle w:val="Default"/>
              <w:jc w:val="left"/>
            </w:pPr>
            <w:r>
              <w:rPr>
                <w:b/>
                <w:bCs/>
                <w:color w:val="000000"/>
              </w:rPr>
              <w:t xml:space="preserve">Written down value</w:t>
            </w:r>
          </w:p>
        </w:tc>
        <w:tc>
          <w:tcPr>
            <w:tcW w:type="pct" w:w="12%"/>
            <w:tcBorders>
              <w:top w:val="single" w:color="000000" w:sz="1"/>
              <w:left w:val="single" w:color="000000" w:sz="1"/>
              <w:bottom w:val="single" w:color="000000" w:sz="1"/>
              <w:right w:val="single" w:color="000000" w:sz="1"/>
            </w:tcBorders>
            <w:vAlign w:val="center"/>
          </w:tcPr>
          <w:p>
            <w:pPr>
              <w:pStyle w:val="Default"/>
              <w:jc w:val="center"/>
            </w:pPr>
            <w:r>
              <w:rPr>
                <w:b w:val="false"/>
                <w:bCs w:val="false"/>
                <w:color w:val="000000"/>
              </w:rPr>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68,85,000.00</w:t>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58,52,250.00</w:t>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49,74,412.50</w:t>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42,28,250.63</w:t>
            </w:r>
          </w:p>
        </w:tc>
        <w:tc>
          <w:tcPr>
            <w:tcW w:type="pct" w:w="13%"/>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35,94,013.04</w:t>
            </w:r>
          </w:p>
        </w:tc>
      </w:tr>
      <w:tr>
        <w:trPr>
          <w:trHeight w:val="300" w:hRule="atLeast"/>
        </w:trPr>
        <w:tc>
          <w:tcPr>
            <w:tcW w:type="pct" w:w="3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Vehicles</w:t>
            </w:r>
          </w:p>
        </w:tc>
        <w:tc>
          <w:tcPr>
            <w:tcW w:type="pct" w:w="12%"/>
            <w:tcBorders>
              <w:top w:val="single" w:color="000000" w:sz="1"/>
              <w:left w:val="single" w:color="000000" w:sz="1"/>
              <w:bottom w:val="single" w:color="000000" w:sz="1"/>
              <w:right w:val="single" w:color="000000" w:sz="1"/>
            </w:tcBorders>
            <w:vAlign w:val="center"/>
          </w:tcPr>
          <w:p>
            <w:pPr>
              <w:pStyle w:val="Default"/>
              <w:jc w:val="center"/>
            </w:pPr>
            <w:r>
              <w:rPr>
                <w:b w:val="false"/>
                <w:bCs w:val="false"/>
                <w:color w:val="000000"/>
              </w:rPr>
              <w:t xml:space="preserve">15%</w:t>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27,00,000.00</w:t>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22,95,000.00</w:t>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19,50,750.00</w:t>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16,58,137.50</w:t>
            </w:r>
          </w:p>
        </w:tc>
        <w:tc>
          <w:tcPr>
            <w:tcW w:type="pct" w:w="13%"/>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14,09,416.88</w:t>
            </w:r>
          </w:p>
        </w:tc>
      </w:tr>
      <w:tr>
        <w:trPr>
          <w:trHeight w:val="300" w:hRule="atLeast"/>
        </w:trPr>
        <w:tc>
          <w:tcPr>
            <w:tcW w:type="pct" w:w="3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During the Year (&gt;= 180 days)</w:t>
            </w:r>
          </w:p>
        </w:tc>
        <w:tc>
          <w:tcPr>
            <w:tcW w:type="pct" w:w="12%"/>
            <w:tcBorders>
              <w:top w:val="single" w:color="000000" w:sz="1"/>
              <w:left w:val="single" w:color="000000" w:sz="1"/>
              <w:bottom w:val="single" w:color="000000" w:sz="1"/>
              <w:right w:val="single" w:color="000000" w:sz="1"/>
            </w:tcBorders>
            <w:vAlign w:val="center"/>
          </w:tcPr>
          <w:p>
            <w:pPr>
              <w:pStyle w:val="Default"/>
              <w:jc w:val="center"/>
            </w:pPr>
            <w:r>
              <w:rPr>
                <w:b w:val="false"/>
                <w:bCs w:val="false"/>
                <w:color w:val="000000"/>
              </w:rPr>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3%"/>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r>
      <w:tr>
        <w:trPr>
          <w:trHeight w:val="300" w:hRule="atLeast"/>
        </w:trPr>
        <w:tc>
          <w:tcPr>
            <w:tcW w:type="pct" w:w="3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During the Year (&lt; 180 days)</w:t>
            </w:r>
          </w:p>
        </w:tc>
        <w:tc>
          <w:tcPr>
            <w:tcW w:type="pct" w:w="12%"/>
            <w:tcBorders>
              <w:top w:val="single" w:color="000000" w:sz="1"/>
              <w:left w:val="single" w:color="000000" w:sz="1"/>
              <w:bottom w:val="single" w:color="000000" w:sz="1"/>
              <w:right w:val="single" w:color="000000" w:sz="1"/>
            </w:tcBorders>
            <w:vAlign w:val="center"/>
          </w:tcPr>
          <w:p>
            <w:pPr>
              <w:pStyle w:val="Default"/>
              <w:jc w:val="center"/>
            </w:pPr>
            <w:r>
              <w:rPr>
                <w:b w:val="false"/>
                <w:bCs w:val="false"/>
                <w:color w:val="000000"/>
              </w:rPr>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3%"/>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r>
      <w:tr>
        <w:trPr>
          <w:trHeight w:val="300" w:hRule="atLeast"/>
        </w:trPr>
        <w:tc>
          <w:tcPr>
            <w:tcW w:type="pct" w:w="3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Total During the Year</w:t>
            </w:r>
          </w:p>
        </w:tc>
        <w:tc>
          <w:tcPr>
            <w:tcW w:type="pct" w:w="12%"/>
            <w:tcBorders>
              <w:top w:val="single" w:color="000000" w:sz="1"/>
              <w:left w:val="single" w:color="000000" w:sz="1"/>
              <w:bottom w:val="single" w:color="000000" w:sz="1"/>
              <w:right w:val="single" w:color="000000" w:sz="1"/>
            </w:tcBorders>
            <w:vAlign w:val="center"/>
          </w:tcPr>
          <w:p>
            <w:pPr>
              <w:pStyle w:val="Default"/>
              <w:jc w:val="center"/>
            </w:pPr>
            <w:r>
              <w:rPr>
                <w:b w:val="false"/>
                <w:bCs w:val="false"/>
                <w:color w:val="000000"/>
              </w:rPr>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3%"/>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r>
      <w:tr>
        <w:trPr>
          <w:trHeight w:val="300" w:hRule="atLeast"/>
        </w:trPr>
        <w:tc>
          <w:tcPr>
            <w:tcW w:type="pct" w:w="35%"/>
            <w:tcBorders>
              <w:top w:val="single" w:color="000000" w:sz="1"/>
              <w:left w:val="single" w:color="000000" w:sz="1"/>
              <w:bottom w:val="single" w:color="000000" w:sz="1"/>
              <w:right w:val="single" w:color="000000" w:sz="1"/>
            </w:tcBorders>
            <w:vAlign w:val="center"/>
          </w:tcPr>
          <w:p>
            <w:pPr>
              <w:pStyle w:val="Default"/>
              <w:jc w:val="left"/>
            </w:pPr>
            <w:r>
              <w:rPr>
                <w:b/>
                <w:bCs/>
                <w:color w:val="000000"/>
              </w:rPr>
              <w:t xml:space="preserve">Total</w:t>
            </w:r>
          </w:p>
        </w:tc>
        <w:tc>
          <w:tcPr>
            <w:tcW w:type="pct" w:w="12%"/>
            <w:tcBorders>
              <w:top w:val="single" w:color="000000" w:sz="1"/>
              <w:left w:val="single" w:color="000000" w:sz="1"/>
              <w:bottom w:val="single" w:color="000000" w:sz="1"/>
              <w:right w:val="single" w:color="000000" w:sz="1"/>
            </w:tcBorders>
            <w:vAlign w:val="center"/>
          </w:tcPr>
          <w:p>
            <w:pPr>
              <w:pStyle w:val="Default"/>
              <w:jc w:val="center"/>
            </w:pPr>
            <w:r>
              <w:rPr>
                <w:b w:val="false"/>
                <w:bCs w:val="false"/>
                <w:color w:val="000000"/>
              </w:rPr>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27,00,000.00</w:t>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22,95,000.00</w:t>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19,50,750.00</w:t>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16,58,137.50</w:t>
            </w:r>
          </w:p>
        </w:tc>
        <w:tc>
          <w:tcPr>
            <w:tcW w:type="pct" w:w="13%"/>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14,09,416.88</w:t>
            </w:r>
          </w:p>
        </w:tc>
      </w:tr>
      <w:tr>
        <w:trPr>
          <w:trHeight w:val="300" w:hRule="atLeast"/>
        </w:trPr>
        <w:tc>
          <w:tcPr>
            <w:tcW w:type="pct" w:w="3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Less Depreciation</w:t>
            </w:r>
          </w:p>
        </w:tc>
        <w:tc>
          <w:tcPr>
            <w:tcW w:type="pct" w:w="12%"/>
            <w:tcBorders>
              <w:top w:val="single" w:color="000000" w:sz="1"/>
              <w:left w:val="single" w:color="000000" w:sz="1"/>
              <w:bottom w:val="single" w:color="000000" w:sz="1"/>
              <w:right w:val="single" w:color="000000" w:sz="1"/>
            </w:tcBorders>
            <w:vAlign w:val="center"/>
          </w:tcPr>
          <w:p>
            <w:pPr>
              <w:pStyle w:val="Default"/>
              <w:jc w:val="center"/>
            </w:pPr>
            <w:r>
              <w:rPr>
                <w:b w:val="false"/>
                <w:bCs w:val="false"/>
                <w:color w:val="000000"/>
              </w:rPr>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4,05,000.00</w:t>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3,44,250.00</w:t>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2,92,612.50</w:t>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2,48,720.63</w:t>
            </w:r>
          </w:p>
        </w:tc>
        <w:tc>
          <w:tcPr>
            <w:tcW w:type="pct" w:w="13%"/>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2,11,412.53</w:t>
            </w:r>
          </w:p>
        </w:tc>
      </w:tr>
      <w:tr>
        <w:trPr>
          <w:trHeight w:val="300" w:hRule="atLeast"/>
        </w:trPr>
        <w:tc>
          <w:tcPr>
            <w:tcW w:type="pct" w:w="3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Adjust (Dep) (Add/Less)</w:t>
            </w:r>
          </w:p>
        </w:tc>
        <w:tc>
          <w:tcPr>
            <w:tcW w:type="pct" w:w="12%"/>
            <w:tcBorders>
              <w:top w:val="single" w:color="000000" w:sz="1"/>
              <w:left w:val="single" w:color="000000" w:sz="1"/>
              <w:bottom w:val="single" w:color="000000" w:sz="1"/>
              <w:right w:val="single" w:color="000000" w:sz="1"/>
            </w:tcBorders>
            <w:vAlign w:val="center"/>
          </w:tcPr>
          <w:p>
            <w:pPr>
              <w:pStyle w:val="Default"/>
              <w:jc w:val="center"/>
            </w:pPr>
            <w:r>
              <w:rPr>
                <w:b w:val="false"/>
                <w:bCs w:val="false"/>
                <w:color w:val="000000"/>
              </w:rPr>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3%"/>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r>
      <w:tr>
        <w:trPr>
          <w:trHeight w:val="300" w:hRule="atLeast"/>
        </w:trPr>
        <w:tc>
          <w:tcPr>
            <w:tcW w:type="pct" w:w="35%"/>
            <w:tcBorders>
              <w:top w:val="single" w:color="000000" w:sz="1"/>
              <w:left w:val="single" w:color="000000" w:sz="1"/>
              <w:bottom w:val="single" w:color="000000" w:sz="1"/>
              <w:right w:val="single" w:color="000000" w:sz="1"/>
            </w:tcBorders>
            <w:vAlign w:val="center"/>
          </w:tcPr>
          <w:p>
            <w:pPr>
              <w:pStyle w:val="Default"/>
              <w:jc w:val="left"/>
            </w:pPr>
            <w:r>
              <w:rPr>
                <w:b/>
                <w:bCs/>
                <w:color w:val="000000"/>
              </w:rPr>
              <w:t xml:space="preserve">Written down value</w:t>
            </w:r>
          </w:p>
        </w:tc>
        <w:tc>
          <w:tcPr>
            <w:tcW w:type="pct" w:w="12%"/>
            <w:tcBorders>
              <w:top w:val="single" w:color="000000" w:sz="1"/>
              <w:left w:val="single" w:color="000000" w:sz="1"/>
              <w:bottom w:val="single" w:color="000000" w:sz="1"/>
              <w:right w:val="single" w:color="000000" w:sz="1"/>
            </w:tcBorders>
            <w:vAlign w:val="center"/>
          </w:tcPr>
          <w:p>
            <w:pPr>
              <w:pStyle w:val="Default"/>
              <w:jc w:val="center"/>
            </w:pPr>
            <w:r>
              <w:rPr>
                <w:b w:val="false"/>
                <w:bCs w:val="false"/>
                <w:color w:val="000000"/>
              </w:rPr>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22,95,000.00</w:t>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19,50,750.00</w:t>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16,58,137.50</w:t>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14,09,416.88</w:t>
            </w:r>
          </w:p>
        </w:tc>
        <w:tc>
          <w:tcPr>
            <w:tcW w:type="pct" w:w="13%"/>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11,98,004.35</w:t>
            </w:r>
          </w:p>
        </w:tc>
      </w:tr>
      <w:tr>
        <w:trPr>
          <w:trHeight w:val="300" w:hRule="atLeast"/>
        </w:trPr>
        <w:tc>
          <w:tcPr>
            <w:tcW w:type="pct" w:w="3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Opening</w:t>
            </w:r>
          </w:p>
        </w:tc>
        <w:tc>
          <w:tcPr>
            <w:tcW w:type="pct" w:w="12%"/>
            <w:tcBorders>
              <w:top w:val="single" w:color="000000" w:sz="1"/>
              <w:left w:val="single" w:color="000000" w:sz="1"/>
              <w:bottom w:val="single" w:color="000000" w:sz="1"/>
              <w:right w:val="single" w:color="000000" w:sz="1"/>
            </w:tcBorders>
            <w:vAlign w:val="center"/>
          </w:tcPr>
          <w:p>
            <w:pPr>
              <w:pStyle w:val="Default"/>
              <w:jc w:val="center"/>
            </w:pPr>
            <w:r>
              <w:rPr>
                <w:b w:val="false"/>
                <w:bCs w:val="false"/>
                <w:color w:val="000000"/>
              </w:rPr>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1,80,00,000.00</w:t>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1,58,40,000.00</w:t>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1,39,77,000.00</w:t>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1,23,69,150.00</w:t>
            </w:r>
          </w:p>
        </w:tc>
        <w:tc>
          <w:tcPr>
            <w:tcW w:type="pct" w:w="13%"/>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1,09,80,607.51</w:t>
            </w:r>
          </w:p>
        </w:tc>
      </w:tr>
      <w:tr>
        <w:trPr>
          <w:trHeight w:val="300" w:hRule="atLeast"/>
        </w:trPr>
        <w:tc>
          <w:tcPr>
            <w:tcW w:type="pct" w:w="3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Total During the Year</w:t>
            </w:r>
          </w:p>
        </w:tc>
        <w:tc>
          <w:tcPr>
            <w:tcW w:type="pct" w:w="12%"/>
            <w:tcBorders>
              <w:top w:val="single" w:color="000000" w:sz="1"/>
              <w:left w:val="single" w:color="000000" w:sz="1"/>
              <w:bottom w:val="single" w:color="000000" w:sz="1"/>
              <w:right w:val="single" w:color="000000" w:sz="1"/>
            </w:tcBorders>
            <w:vAlign w:val="center"/>
          </w:tcPr>
          <w:p>
            <w:pPr>
              <w:pStyle w:val="Default"/>
              <w:jc w:val="center"/>
            </w:pPr>
            <w:r>
              <w:rPr>
                <w:b w:val="false"/>
                <w:bCs w:val="false"/>
                <w:color w:val="000000"/>
              </w:rPr>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3%"/>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r>
      <w:tr>
        <w:trPr>
          <w:trHeight w:val="300" w:hRule="atLeast"/>
        </w:trPr>
        <w:tc>
          <w:tcPr>
            <w:tcW w:type="pct" w:w="3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Gross Block</w:t>
            </w:r>
          </w:p>
        </w:tc>
        <w:tc>
          <w:tcPr>
            <w:tcW w:type="pct" w:w="12%"/>
            <w:tcBorders>
              <w:top w:val="single" w:color="000000" w:sz="1"/>
              <w:left w:val="single" w:color="000000" w:sz="1"/>
              <w:bottom w:val="single" w:color="000000" w:sz="1"/>
              <w:right w:val="single" w:color="000000" w:sz="1"/>
            </w:tcBorders>
            <w:vAlign w:val="center"/>
          </w:tcPr>
          <w:p>
            <w:pPr>
              <w:pStyle w:val="Default"/>
              <w:jc w:val="center"/>
            </w:pPr>
            <w:r>
              <w:rPr>
                <w:b w:val="false"/>
                <w:bCs w:val="false"/>
                <w:color w:val="000000"/>
              </w:rPr>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1,80,00,000.00</w:t>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1,58,40,000.00</w:t>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1,39,77,000.00</w:t>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1,23,69,150.00</w:t>
            </w:r>
          </w:p>
        </w:tc>
        <w:tc>
          <w:tcPr>
            <w:tcW w:type="pct" w:w="13%"/>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1,09,80,607.51</w:t>
            </w:r>
          </w:p>
        </w:tc>
      </w:tr>
      <w:tr>
        <w:trPr>
          <w:trHeight w:val="300" w:hRule="atLeast"/>
        </w:trPr>
        <w:tc>
          <w:tcPr>
            <w:tcW w:type="pct" w:w="3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Total less depreciation</w:t>
            </w:r>
          </w:p>
        </w:tc>
        <w:tc>
          <w:tcPr>
            <w:tcW w:type="pct" w:w="12%"/>
            <w:tcBorders>
              <w:top w:val="single" w:color="000000" w:sz="1"/>
              <w:left w:val="single" w:color="000000" w:sz="1"/>
              <w:bottom w:val="single" w:color="000000" w:sz="1"/>
              <w:right w:val="single" w:color="000000" w:sz="1"/>
            </w:tcBorders>
            <w:vAlign w:val="center"/>
          </w:tcPr>
          <w:p>
            <w:pPr>
              <w:pStyle w:val="Default"/>
              <w:jc w:val="center"/>
            </w:pPr>
            <w:r>
              <w:rPr>
                <w:b w:val="false"/>
                <w:bCs w:val="false"/>
                <w:color w:val="000000"/>
              </w:rPr>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21,60,000.00</w:t>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18,63,000.00</w:t>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16,07,850.00</w:t>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13,88,542.51</w:t>
            </w:r>
          </w:p>
        </w:tc>
        <w:tc>
          <w:tcPr>
            <w:tcW w:type="pct" w:w="13%"/>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11,99,944.12</w:t>
            </w:r>
          </w:p>
        </w:tc>
      </w:tr>
      <w:tr>
        <w:trPr>
          <w:trHeight w:val="300" w:hRule="atLeast"/>
        </w:trPr>
        <w:tc>
          <w:tcPr>
            <w:tcW w:type="pct" w:w="3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Total Adjust (Dep) (Add/Less)</w:t>
            </w:r>
          </w:p>
        </w:tc>
        <w:tc>
          <w:tcPr>
            <w:tcW w:type="pct" w:w="12%"/>
            <w:tcBorders>
              <w:top w:val="single" w:color="000000" w:sz="1"/>
              <w:left w:val="single" w:color="000000" w:sz="1"/>
              <w:bottom w:val="single" w:color="000000" w:sz="1"/>
              <w:right w:val="single" w:color="000000" w:sz="1"/>
            </w:tcBorders>
            <w:vAlign w:val="center"/>
          </w:tcPr>
          <w:p>
            <w:pPr>
              <w:pStyle w:val="Default"/>
              <w:jc w:val="center"/>
            </w:pPr>
            <w:r>
              <w:rPr>
                <w:b w:val="false"/>
                <w:bCs w:val="false"/>
                <w:color w:val="000000"/>
              </w:rPr>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3%"/>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r>
      <w:tr>
        <w:trPr>
          <w:trHeight w:val="300" w:hRule="atLeast"/>
        </w:trPr>
        <w:tc>
          <w:tcPr>
            <w:tcW w:type="pct" w:w="3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Total written down value</w:t>
            </w:r>
          </w:p>
        </w:tc>
        <w:tc>
          <w:tcPr>
            <w:tcW w:type="pct" w:w="12%"/>
            <w:tcBorders>
              <w:top w:val="single" w:color="000000" w:sz="1"/>
              <w:left w:val="single" w:color="000000" w:sz="1"/>
              <w:bottom w:val="single" w:color="000000" w:sz="1"/>
              <w:right w:val="single" w:color="000000" w:sz="1"/>
            </w:tcBorders>
            <w:vAlign w:val="center"/>
          </w:tcPr>
          <w:p>
            <w:pPr>
              <w:pStyle w:val="Default"/>
              <w:jc w:val="center"/>
            </w:pPr>
            <w:r>
              <w:rPr>
                <w:b w:val="false"/>
                <w:bCs w:val="false"/>
                <w:color w:val="000000"/>
              </w:rPr>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1,58,40,000.00</w:t>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1,39,77,000.00</w:t>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1,23,69,150.00</w:t>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1,09,80,607.51</w:t>
            </w:r>
          </w:p>
        </w:tc>
        <w:tc>
          <w:tcPr>
            <w:tcW w:type="pct" w:w="13%"/>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97,80,663.39</w:t>
            </w:r>
          </w:p>
        </w:tc>
      </w:tr>
    </w:tbl>
    <w:p>
      <w:pPr>
        <w:spacing w:after="400"/>
      </w:pPr>
    </w:p>
    <w:p>
      <w:r>
        <w:br w:type="page"/>
      </w:r>
    </w:p>
    <w:p>
      <w:pPr>
        <w:pStyle w:val="sectionHeading"/>
        <w:spacing w:after="200"/>
        <w:jc w:val="center"/>
      </w:pPr>
      <w:r>
        <w:t xml:space="preserve">Comparative Statement</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40"/>
        <w:gridCol w:w="12"/>
        <w:gridCol w:w="12"/>
        <w:gridCol w:w="12"/>
        <w:gridCol w:w="12"/>
        <w:gridCol w:w="12"/>
      </w:tblGrid>
      <w:tr>
        <w:trPr>
          <w:tblHeader/>
          <w:trHeight w:val="600" w:hRule="atLeast"/>
        </w:trPr>
        <w:tc>
          <w:tcPr>
            <w:tcW w:type="pct" w:w="40%"/>
            <w:tcBorders>
              <w:top w:val="single" w:color="000000" w:sz="1"/>
              <w:left w:val="single" w:color="000000" w:sz="1"/>
              <w:bottom w:val="single" w:color="000000" w:sz="1"/>
              <w:right w:val="single" w:color="000000" w:sz="1"/>
            </w:tcBorders>
            <w:shd w:fill="475569" w:color="475569" w:val="solid"/>
            <w:vAlign w:val="center"/>
          </w:tcPr>
          <w:p>
            <w:pPr>
              <w:pStyle w:val="TableHeaderStyle"/>
              <w:jc w:val="center"/>
            </w:pPr>
            <w:r>
              <w:rPr>
                <w:b/>
                <w:bCs/>
                <w:color w:val="FFFFFF"/>
              </w:rPr>
              <w:t xml:space="preserve">Particulars</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TableHeaderStyle"/>
              <w:jc w:val="center"/>
            </w:pPr>
            <w:r>
              <w:rPr>
                <w:b/>
                <w:bCs/>
                <w:color w:val="FFFFFF"/>
              </w:rPr>
              <w:t xml:space="preserve">2024-2025</w:t>
            </w:r>
          </w:p>
          <w:p>
            <w:pPr>
              <w:pStyle w:val="TableHeaderStyle"/>
              <w:jc w:val="center"/>
            </w:pPr>
            <w:r>
              <w:rPr>
                <w:b/>
                <w:bCs/>
                <w:color w:val="FFFFFF"/>
              </w:rPr>
              <w:t xml:space="preserve">(actual)</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TableHeaderStyle"/>
              <w:jc w:val="center"/>
            </w:pPr>
            <w:r>
              <w:rPr>
                <w:b/>
                <w:bCs/>
                <w:color w:val="FFFFFF"/>
              </w:rPr>
              <w:t xml:space="preserve">2025-2026</w:t>
            </w:r>
          </w:p>
          <w:p>
            <w:pPr>
              <w:pStyle w:val="TableHeaderStyle"/>
              <w:jc w:val="center"/>
            </w:pPr>
            <w:r>
              <w:rPr>
                <w:b/>
                <w:bCs/>
                <w:color w:val="FFFFFF"/>
              </w:rPr>
              <w:t xml:space="preserve">(provisional)</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TableHeaderStyle"/>
              <w:jc w:val="center"/>
            </w:pPr>
            <w:r>
              <w:rPr>
                <w:b/>
                <w:bCs/>
                <w:color w:val="FFFFFF"/>
              </w:rPr>
              <w:t xml:space="preserve">2026-2027</w:t>
            </w:r>
          </w:p>
          <w:p>
            <w:pPr>
              <w:pStyle w:val="TableHeaderStyle"/>
              <w:jc w:val="center"/>
            </w:pPr>
            <w:r>
              <w:rPr>
                <w:b/>
                <w:bCs/>
                <w:color w:val="FFFFFF"/>
              </w:rPr>
              <w:t xml:space="preserve">(projected)</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TableHeaderStyle"/>
              <w:jc w:val="center"/>
            </w:pPr>
            <w:r>
              <w:rPr>
                <w:b/>
                <w:bCs/>
                <w:color w:val="FFFFFF"/>
              </w:rPr>
              <w:t xml:space="preserve">2027-2028</w:t>
            </w:r>
          </w:p>
          <w:p>
            <w:pPr>
              <w:pStyle w:val="TableHeaderStyle"/>
              <w:jc w:val="center"/>
            </w:pPr>
            <w:r>
              <w:rPr>
                <w:b/>
                <w:bCs/>
                <w:color w:val="FFFFFF"/>
              </w:rPr>
              <w:t xml:space="preserve">(projected)</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TableHeaderStyle"/>
              <w:jc w:val="center"/>
            </w:pPr>
            <w:r>
              <w:rPr>
                <w:b/>
                <w:bCs/>
                <w:color w:val="FFFFFF"/>
              </w:rPr>
              <w:t xml:space="preserve">2028-2029</w:t>
            </w:r>
          </w:p>
          <w:p>
            <w:pPr>
              <w:pStyle w:val="TableHeaderStyle"/>
              <w:jc w:val="center"/>
            </w:pPr>
            <w:r>
              <w:rPr>
                <w:b/>
                <w:bCs/>
                <w:color w:val="FFFFFF"/>
              </w:rPr>
              <w:t xml:space="preserve">(projected)</w:t>
            </w:r>
          </w:p>
        </w:tc>
      </w:tr>
      <w:tr>
        <w:trPr>
          <w:trHeight w:val="300" w:hRule="atLeast"/>
        </w:trPr>
        <w:tc>
          <w:tcPr>
            <w:tcW w:type="pct" w:w="40%"/>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bCs/>
                <w:color w:val="FFFFFF"/>
              </w:rPr>
              <w:t xml:space="preserve">A. CURRENT ASSETS</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bCs/>
                <w:color w:val="000000"/>
              </w:rPr>
              <w:t xml:space="preserve">1. Raw Materials( including stores and other used in the process of mfg)</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(a) Imported</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Amount</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(b) Indigenous :</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Amount</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bCs/>
                <w:color w:val="000000"/>
              </w:rPr>
              <w:t xml:space="preserve">2. Other Consumables</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(a) Imported</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Amount</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(b) Indigenous :</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Amount</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bCs/>
                <w:color w:val="000000"/>
              </w:rPr>
              <w:t xml:space="preserve">3. Direct Expenses</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(a) Imported</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Amount</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(b) Indigenous :</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Amount</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bCs/>
                <w:color w:val="000000"/>
              </w:rPr>
              <w:t xml:space="preserve">4. Stocks-in-process</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Amount</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bCs/>
                <w:color w:val="000000"/>
              </w:rPr>
              <w:t xml:space="preserve">5. Finished goods:</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Amount</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34,52,054.79</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37,28,219.18</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40,26,476.71</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43,48,594.85</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46,96,482.44</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bCs/>
                <w:color w:val="000000"/>
              </w:rPr>
              <w:t xml:space="preserve">6. Receivables other than export and deferred receivables(Including bill purchased and discounted by banks)</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Amount</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39,45,205.48</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42,60,821.92</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46,01,687.67</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49,69,822.68</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53,67,408.50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bCs/>
                <w:color w:val="000000"/>
              </w:rPr>
              <w:t xml:space="preserve">7. Export receivables(include bill purchased and discount)</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Amount</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bCs/>
                <w:color w:val="000000"/>
              </w:rPr>
              <w:t xml:space="preserve">8. Advances to Supplier</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bCs/>
                <w:color w:val="000000"/>
              </w:rPr>
              <w:t xml:space="preserve">9. Other Current Assets (specify major Items)</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Cash and Bank Balance</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1,24,057.07</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41,28,330.63</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98,57,976.26</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1,43,81,760.78</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1,92,80,667.37</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Investment except long term</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Installment of Deferred receivables</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Advance Payment of Taxes</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Other</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bCs/>
                <w:color w:val="FFFFFF"/>
              </w:rPr>
              <w:t xml:space="preserve">10. TOTAL CURRENT ASSETS</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75,21,317.34</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1,21,17,371.73</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1,84,86,140.64</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2,37,00,178.31</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2,93,44,558.31</w:t>
            </w:r>
          </w:p>
        </w:tc>
      </w:tr>
      <w:tr>
        <w:trPr>
          <w:trHeight w:val="300" w:hRule="atLeast"/>
        </w:trPr>
        <w:tc>
          <w:tcPr>
            <w:tcW w:type="pct" w:w="40%"/>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bCs/>
                <w:color w:val="FFFFFF"/>
              </w:rPr>
              <w:t xml:space="preserve">B. CURRENT LIABILITIES</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(Other than bank borrowings for WC)</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bCs/>
                <w:color w:val="000000"/>
              </w:rPr>
              <w:t xml:space="preserve">11. Creditors for purchase of raw materials, stores and consumable spares</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13,56,164.38</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14,64,657.53</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15,81,830.14</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17,08,376.55</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18,45,046.67</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bCs/>
                <w:color w:val="000000"/>
              </w:rPr>
              <w:t xml:space="preserve">12. Advance from Customers/ SD</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bCs/>
                <w:color w:val="000000"/>
              </w:rPr>
              <w:t xml:space="preserve">13. Statutory liabilities</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13,41,137.60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16,12,047.50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18,36,648.89</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21,20,803.23</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24,15,817.35</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bCs/>
                <w:color w:val="000000"/>
              </w:rPr>
              <w:t xml:space="preserve">14. Other Current liabilities-specify major items</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12,33,415.48</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13,55,828.98</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14,90,391.73</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16,38,309.51</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(a) S.T. borrowings others</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(b) Dividend Payable</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(c) Installment of TL,DGP and Public Deposits</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12,33,415.48</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13,55,828.98</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14,90,391.73</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16,38,309.51</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(d) Other</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(a) Other current liabilities</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(b)</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(c)</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(d)</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bCs/>
                <w:color w:val="FFFFFF"/>
              </w:rPr>
              <w:t xml:space="preserve">15. TOTAL CURRENT LIABILITIES</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39,30,717.46</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44,32,534.01</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49,08,870.76</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54,67,489.29</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42,60,864.02</w:t>
            </w:r>
          </w:p>
        </w:tc>
      </w:tr>
    </w:tbl>
    <w:p>
      <w:pPr>
        <w:spacing w:after="400"/>
      </w:pPr>
    </w:p>
    <w:p>
      <w:r>
        <w:br w:type="page"/>
      </w:r>
    </w:p>
    <w:p>
      <w:pPr>
        <w:pStyle w:val="sectionHeading"/>
        <w:spacing w:after="200"/>
        <w:jc w:val="center"/>
      </w:pPr>
      <w:r>
        <w:t xml:space="preserve">Ratio Analysis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40"/>
        <w:gridCol w:w="12"/>
        <w:gridCol w:w="12"/>
        <w:gridCol w:w="12"/>
        <w:gridCol w:w="12"/>
        <w:gridCol w:w="12"/>
      </w:tblGrid>
      <w:tr>
        <w:trPr>
          <w:tblHeader/>
          <w:trHeight w:val="600" w:hRule="atLeast"/>
        </w:trPr>
        <w:tc>
          <w:tcPr>
            <w:tcW w:type="pct" w:w="40%"/>
            <w:tcBorders>
              <w:top w:val="single" w:color="000000" w:sz="1"/>
              <w:left w:val="single" w:color="000000" w:sz="1"/>
              <w:bottom w:val="single" w:color="000000" w:sz="1"/>
              <w:right w:val="single" w:color="000000" w:sz="1"/>
            </w:tcBorders>
            <w:shd w:fill="475569" w:color="475569" w:val="solid"/>
            <w:vAlign w:val="center"/>
          </w:tcPr>
          <w:p>
            <w:pPr>
              <w:pStyle w:val="TableHeaderStyle"/>
              <w:jc w:val="center"/>
            </w:pPr>
            <w:r>
              <w:rPr>
                <w:b/>
                <w:bCs/>
                <w:color w:val="FFFFFF"/>
              </w:rPr>
              <w:t xml:space="preserve">Particulars</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TableHeaderStyle"/>
              <w:jc w:val="center"/>
            </w:pPr>
            <w:r>
              <w:rPr>
                <w:b/>
                <w:bCs/>
                <w:color w:val="FFFFFF"/>
              </w:rPr>
              <w:t xml:space="preserve">2024-2025</w:t>
            </w:r>
          </w:p>
          <w:p>
            <w:pPr>
              <w:pStyle w:val="TableHeaderStyle"/>
              <w:jc w:val="center"/>
            </w:pPr>
            <w:r>
              <w:rPr>
                <w:b/>
                <w:bCs/>
                <w:color w:val="FFFFFF"/>
              </w:rPr>
              <w:t xml:space="preserve">(actual)</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TableHeaderStyle"/>
              <w:jc w:val="center"/>
            </w:pPr>
            <w:r>
              <w:rPr>
                <w:b/>
                <w:bCs/>
                <w:color w:val="FFFFFF"/>
              </w:rPr>
              <w:t xml:space="preserve">2025-2026</w:t>
            </w:r>
          </w:p>
          <w:p>
            <w:pPr>
              <w:pStyle w:val="TableHeaderStyle"/>
              <w:jc w:val="center"/>
            </w:pPr>
            <w:r>
              <w:rPr>
                <w:b/>
                <w:bCs/>
                <w:color w:val="FFFFFF"/>
              </w:rPr>
              <w:t xml:space="preserve">(provisional)</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TableHeaderStyle"/>
              <w:jc w:val="center"/>
            </w:pPr>
            <w:r>
              <w:rPr>
                <w:b/>
                <w:bCs/>
                <w:color w:val="FFFFFF"/>
              </w:rPr>
              <w:t xml:space="preserve">2026-2027</w:t>
            </w:r>
          </w:p>
          <w:p>
            <w:pPr>
              <w:pStyle w:val="TableHeaderStyle"/>
              <w:jc w:val="center"/>
            </w:pPr>
            <w:r>
              <w:rPr>
                <w:b/>
                <w:bCs/>
                <w:color w:val="FFFFFF"/>
              </w:rPr>
              <w:t xml:space="preserve">(projected)</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TableHeaderStyle"/>
              <w:jc w:val="center"/>
            </w:pPr>
            <w:r>
              <w:rPr>
                <w:b/>
                <w:bCs/>
                <w:color w:val="FFFFFF"/>
              </w:rPr>
              <w:t xml:space="preserve">2027-2028</w:t>
            </w:r>
          </w:p>
          <w:p>
            <w:pPr>
              <w:pStyle w:val="TableHeaderStyle"/>
              <w:jc w:val="center"/>
            </w:pPr>
            <w:r>
              <w:rPr>
                <w:b/>
                <w:bCs/>
                <w:color w:val="FFFFFF"/>
              </w:rPr>
              <w:t xml:space="preserve">(projected)</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TableHeaderStyle"/>
              <w:jc w:val="center"/>
            </w:pPr>
            <w:r>
              <w:rPr>
                <w:b/>
                <w:bCs/>
                <w:color w:val="FFFFFF"/>
              </w:rPr>
              <w:t xml:space="preserve">2028-2029</w:t>
            </w:r>
          </w:p>
          <w:p>
            <w:pPr>
              <w:pStyle w:val="TableHeaderStyle"/>
              <w:jc w:val="center"/>
            </w:pPr>
            <w:r>
              <w:rPr>
                <w:b/>
                <w:bCs/>
                <w:color w:val="FFFFFF"/>
              </w:rPr>
              <w:t xml:space="preserve">(projected)</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bCs/>
                <w:color w:val="000000"/>
              </w:rPr>
              <w:t xml:space="preserve">GROSS PROFIT RATIO</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32.00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32.00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32.00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32.00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32.00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bCs/>
                <w:color w:val="000000"/>
              </w:rPr>
              <w:t xml:space="preserve">NET PROFIT RATIO</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10.60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11.80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12.45</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13.31</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14.04</w:t>
            </w:r>
          </w:p>
        </w:tc>
      </w:tr>
      <w:tr>
        <w:trPr>
          <w:trHeight w:val="300" w:hRule="atLeast"/>
        </w:trPr>
        <w:tc>
          <w:tcPr>
            <w:tcW w:type="pct" w:w="40%"/>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bCs/>
                <w:color w:val="FFFFFF"/>
              </w:rPr>
              <w:t xml:space="preserve">STOCK</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Stock</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34,52,054.79</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37,28,219.18</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40,26,476.71</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43,48,594.85</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46,96,482.44</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Add: Debtors</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39,45,205.48</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42,60,821.92</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46,01,687.67</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49,69,822.68</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53,67,408.50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bCs/>
                <w:color w:val="000000"/>
              </w:rPr>
              <w:t xml:space="preserve">Less: Creditors</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13,56,164.38</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14,64,657.53</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15,81,830.14</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17,08,376.55</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18,45,046.67</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bCs/>
                <w:color w:val="000000"/>
              </w:rPr>
              <w:t xml:space="preserve">NET PAID STOCK</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60,41,095.89</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65,24,383.57</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70,46,334.24</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76,10,040.98</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82,18,844.27</w:t>
            </w:r>
          </w:p>
        </w:tc>
      </w:tr>
      <w:tr>
        <w:trPr>
          <w:trHeight w:val="300" w:hRule="atLeast"/>
        </w:trPr>
        <w:tc>
          <w:tcPr>
            <w:tcW w:type="pct" w:w="40%"/>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bCs/>
                <w:color w:val="FFFFFF"/>
              </w:rPr>
              <w:t xml:space="preserve">  Margin</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DP</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60,41,095.89</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65,24,383.57</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70,46,334.24</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76,10,040.98</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82,18,844.27</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Bank Loan</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19,80,000.00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19,80,000.00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19,80,000.00</w:t>
            </w:r>
          </w:p>
        </w:tc>
      </w:tr>
      <w:tr>
        <w:trPr>
          <w:trHeight w:val="300" w:hRule="atLeast"/>
        </w:trPr>
        <w:tc>
          <w:tcPr>
            <w:tcW w:type="pct" w:w="40%"/>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bCs/>
                <w:color w:val="FFFFFF"/>
              </w:rPr>
              <w:t xml:space="preserve">Export Debtors</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r>
      <w:tr>
        <w:trPr>
          <w:trHeight w:val="300" w:hRule="atLeast"/>
        </w:trPr>
        <w:tc>
          <w:tcPr>
            <w:tcW w:type="pct" w:w="40%"/>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bCs/>
                <w:color w:val="FFFFFF"/>
              </w:rPr>
              <w:t xml:space="preserve">  Margin</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DP</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bCs/>
                <w:color w:val="000000"/>
              </w:rPr>
              <w:t xml:space="preserve">Total DP</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60,41,095.89</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65,24,383.57</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70,46,334.24</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76,10,040.98</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82,18,844.27</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bCs/>
                <w:color w:val="000000"/>
              </w:rPr>
              <w:t xml:space="preserve">CURRENT RATIO</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1.91</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2.73</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2.68</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3.18</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4.70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MPBF</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19,80,000.00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19,80,000.00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19,79,999.99</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bCs/>
                <w:color w:val="000000"/>
              </w:rPr>
              <w:t xml:space="preserve">Total of Liabilities</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2,33,92,331.61</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2,71,26,454.39</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3,33,19,784.71</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3,82,76,225.99</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4,39,45,388.53</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bCs/>
                <w:color w:val="000000"/>
              </w:rPr>
              <w:t xml:space="preserve">Total of Assets</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2,33,92,331.61</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2,71,26,454.39</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3,33,19,784.71</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3,82,76,225.99</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4,39,45,388.52</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Difference in B/S</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0.01</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TOL/TNW</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0.56</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0.39</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0.34</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0.24</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0.17</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TTL/TNW</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0.30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0.16</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0.07</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bCs/>
                <w:color w:val="FFFFFF"/>
              </w:rPr>
              <w:t xml:space="preserve">KEY RATIO</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Growth in Net Sales (%)</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N/A</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8.00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8.00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8.00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8.00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Growth in Net Profit (%)</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N/A</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20.20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13.93</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15.47</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13.91</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Growth in Net Worth (%)</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N/A</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30.63</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26.72</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24.35</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22.30</w:t>
            </w:r>
          </w:p>
        </w:tc>
      </w:tr>
      <w:tr>
        <w:trPr>
          <w:trHeight w:val="300" w:hRule="atLeast"/>
        </w:trPr>
        <w:tc>
          <w:tcPr>
            <w:tcW w:type="pct" w:w="40%"/>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bCs/>
                <w:color w:val="FFFFFF"/>
              </w:rPr>
              <w:t xml:space="preserve">LIQUIDITY RATIO</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Current Ratio</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1.91</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2.73</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2.68</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3.18</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4.70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bCs/>
                <w:color w:val="000000"/>
              </w:rPr>
              <w:t xml:space="preserve">Quick Ratio</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1.04</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1.89</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2.10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2.60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3.95</w:t>
            </w:r>
          </w:p>
        </w:tc>
      </w:tr>
      <w:tr>
        <w:trPr>
          <w:trHeight w:val="300" w:hRule="atLeast"/>
        </w:trPr>
        <w:tc>
          <w:tcPr>
            <w:tcW w:type="pct" w:w="40%"/>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bCs/>
                <w:color w:val="FFFFFF"/>
              </w:rPr>
              <w:t xml:space="preserve">EFFICIENCY RATIO</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Stock TurnOver Ratio</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20.86</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10.83</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10.83</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10.83</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10.83</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Total Assets TurnOver Ratio</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1.54</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1.43</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1.26</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1.18</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1.11</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Fixed Assets TurnOver Ratio</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2.27</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2.78</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3.39</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4.13</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5.01</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Current Assets TurnOver Ratio</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4.79</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3.21</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2.27</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1.91</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1.67</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Working Capital TurnOver Ratio</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10.03</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5.06</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3.62</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2.79</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2.12</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Capital TurnOver Ratio</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2.40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1.99</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1.69</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1.47</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1.30</w:t>
            </w:r>
          </w:p>
        </w:tc>
      </w:tr>
      <w:tr>
        <w:trPr>
          <w:trHeight w:val="300" w:hRule="atLeast"/>
        </w:trPr>
        <w:tc>
          <w:tcPr>
            <w:tcW w:type="pct" w:w="40%"/>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bCs/>
                <w:color w:val="FFFFFF"/>
              </w:rPr>
              <w:t xml:space="preserve">PROFITABILITY RATIO</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bCs/>
                <w:color w:val="000000"/>
              </w:rPr>
              <w:t xml:space="preserve">Expenses Ratio (%)</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Manufacturing Expenses Ratio (%)</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13.00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13.00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13.00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13.00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13.00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Indirect Expenses Ratio (%)</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Finance Expenses Ratio (%)</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1.67</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1.26</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1.35</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0.95</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0.58</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Non Operating Expenses Ratio (%)</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Net Profit Ratio (%)</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10.60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11.80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12.45</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13.31</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14.04</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Return on Capital Employed (%)</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25.49</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23.45</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21.08</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19.58</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18.24</w:t>
            </w:r>
          </w:p>
        </w:tc>
      </w:tr>
      <w:tr>
        <w:trPr>
          <w:trHeight w:val="300" w:hRule="atLeast"/>
        </w:trPr>
        <w:tc>
          <w:tcPr>
            <w:tcW w:type="pct" w:w="40%"/>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bCs/>
                <w:color w:val="FFFFFF"/>
              </w:rPr>
              <w:t xml:space="preserve">SOLVENCY RATIO</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Debt-Equity Ratio</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0.30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0.16</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0.15</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0.06</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0.05</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Interest coverage ratio</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13.16</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17.44</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16.32</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23.12</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38.00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DSCR (Debt Service Coverage Ratio)</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3.82</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4.03</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4.18</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4.44</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4.73</w:t>
            </w:r>
          </w:p>
        </w:tc>
      </w:tr>
      <w:tr>
        <w:trPr>
          <w:trHeight w:val="300" w:hRule="atLeast"/>
        </w:trPr>
        <w:tc>
          <w:tcPr>
            <w:tcW w:type="pct" w:w="40%"/>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bCs/>
                <w:color w:val="FFFFFF"/>
              </w:rPr>
              <w:t xml:space="preserve">ADDITIONAL INFORMATION</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Tangible Net Worth</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1,49,77,083.92</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1,95,65,219.14</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2,47,92,604.44</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3,08,28,736.70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3,77,04,524.51</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Total Long Term Liabilities</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44,84,530.23</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31,28,701.24</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16,38,309.51</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Net Block of Fixed assets</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1,58,40,000.00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1,39,77,000.00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1,23,69,150.00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1,09,80,607.49</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97,80,663.37</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Total Non Current Assets</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31,014.27</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10,32,082.66</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24,64,494.07</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35,95,440.19</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48,20,166.84</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Net Working Capital</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35,90,599.88</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76,84,837.72</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1,15,97,269.88</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1,62,52,689.02</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2,31,03,694.30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Other Income</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Total Sales</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3,60,00,000.00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3,88,80,000.00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4,19,90,400.00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4,53,49,632.00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4,89,77,602.56</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Net Profit After Tax</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38,17,083.92</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45,88,135.21</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52,27,385.32</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60,36,132.26</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68,75,787.81</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Cash Accruals</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59,77,083.92</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64,51,135.21</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68,35,235.32</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74,24,674.77</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80,75,731.93</w:t>
            </w:r>
          </w:p>
        </w:tc>
      </w:tr>
    </w:tbl>
    <w:p>
      <w:pPr>
        <w:spacing w:after="400"/>
      </w:pPr>
    </w:p>
    <w:p>
      <w:r>
        <w:br w:type="page"/>
      </w:r>
    </w:p>
    <w:p>
      <w:pPr>
        <w:pStyle w:val="sectionHeading"/>
        <w:spacing w:after="200"/>
        <w:jc w:val="center"/>
      </w:pPr>
      <w:r>
        <w:t xml:space="preserve">Graphical Analysis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50"/>
        <w:gridCol w:w="50"/>
      </w:tblGrid>
      <w:tr>
        <w:tc>
          <w:tcPr>
            <w:tcBorders>
              <w:top w:val="none"/>
              <w:left w:val="none"/>
              <w:bottom w:val="none"/>
              <w:right w:val="none"/>
            </w:tcBorders>
          </w:tcPr>
          <w:p>
            <w:pPr>
              <w:pStyle w:val="Default"/>
              <w:spacing w:after="100"/>
              <w:jc w:val="center"/>
            </w:pPr>
            <w:r>
              <w:t xml:space="preserve">Sales And Profitability</w:t>
            </w:r>
          </w:p>
          <w:p>
            <w:pPr>
              <w:jc w:val="center"/>
            </w:pPr>
            <w:r>
              <w:drawing>
                <wp:inline distT="0" distB="0" distL="0" distR="0">
                  <wp:extent cx="3333750" cy="16668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3333750" cy="1666875"/>
                          </a:xfrm>
                          <a:prstGeom prst="rect">
                            <a:avLst/>
                          </a:prstGeom>
                        </pic:spPr>
                      </pic:pic>
                    </a:graphicData>
                  </a:graphic>
                </wp:inline>
              </w:drawing>
            </w:r>
          </w:p>
        </w:tc>
        <w:tc>
          <w:tcPr>
            <w:tcBorders>
              <w:top w:val="none"/>
              <w:left w:val="none"/>
              <w:bottom w:val="none"/>
              <w:right w:val="none"/>
            </w:tcBorders>
          </w:tcPr>
          <w:p>
            <w:pPr>
              <w:pStyle w:val="Default"/>
              <w:spacing w:after="100"/>
              <w:jc w:val="center"/>
            </w:pPr>
            <w:r>
              <w:t xml:space="preserve">Balance Sheet Strength</w:t>
            </w:r>
          </w:p>
          <w:p>
            <w:pPr>
              <w:jc w:val="center"/>
            </w:pPr>
            <w:r>
              <w:drawing>
                <wp:inline distT="0" distB="0" distL="0" distR="0">
                  <wp:extent cx="3333750" cy="16668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3333750" cy="1666875"/>
                          </a:xfrm>
                          <a:prstGeom prst="rect">
                            <a:avLst/>
                          </a:prstGeom>
                        </pic:spPr>
                      </pic:pic>
                    </a:graphicData>
                  </a:graphic>
                </wp:inline>
              </w:drawing>
            </w:r>
          </w:p>
        </w:tc>
      </w:tr>
      <w:tr>
        <w:tc>
          <w:tcPr>
            <w:tcBorders>
              <w:top w:val="none"/>
              <w:left w:val="none"/>
              <w:bottom w:val="none"/>
              <w:right w:val="none"/>
            </w:tcBorders>
          </w:tcPr>
          <w:p>
            <w:pPr>
              <w:pStyle w:val="Default"/>
              <w:spacing w:after="100"/>
              <w:jc w:val="center"/>
            </w:pPr>
            <w:r>
              <w:t xml:space="preserve">Liquidity Ratios</w:t>
            </w:r>
          </w:p>
          <w:p>
            <w:pPr>
              <w:jc w:val="center"/>
            </w:pPr>
            <w:r>
              <w:drawing>
                <wp:inline distT="0" distB="0" distL="0" distR="0">
                  <wp:extent cx="3333750" cy="16668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3333750" cy="1666875"/>
                          </a:xfrm>
                          <a:prstGeom prst="rect">
                            <a:avLst/>
                          </a:prstGeom>
                        </pic:spPr>
                      </pic:pic>
                    </a:graphicData>
                  </a:graphic>
                </wp:inline>
              </w:drawing>
            </w:r>
          </w:p>
        </w:tc>
        <w:tc>
          <w:tcPr>
            <w:tcBorders>
              <w:top w:val="none"/>
              <w:left w:val="none"/>
              <w:bottom w:val="none"/>
              <w:right w:val="none"/>
            </w:tcBorders>
          </w:tcPr>
          <w:p>
            <w:pPr>
              <w:pStyle w:val="Default"/>
              <w:spacing w:after="100"/>
              <w:jc w:val="center"/>
            </w:pPr>
            <w:r>
              <w:t xml:space="preserve">Profitability Ratios</w:t>
            </w:r>
          </w:p>
          <w:p>
            <w:pPr>
              <w:jc w:val="center"/>
            </w:pPr>
            <w:r>
              <w:drawing>
                <wp:inline distT="0" distB="0" distL="0" distR="0">
                  <wp:extent cx="3333750" cy="16668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3333750" cy="1666875"/>
                          </a:xfrm>
                          <a:prstGeom prst="rect">
                            <a:avLst/>
                          </a:prstGeom>
                        </pic:spPr>
                      </pic:pic>
                    </a:graphicData>
                  </a:graphic>
                </wp:inline>
              </w:drawing>
            </w:r>
          </w:p>
        </w:tc>
      </w:tr>
      <w:tr>
        <w:tc>
          <w:tcPr>
            <w:tcBorders>
              <w:top w:val="none"/>
              <w:left w:val="none"/>
              <w:bottom w:val="none"/>
              <w:right w:val="none"/>
            </w:tcBorders>
          </w:tcPr>
          <w:p>
            <w:pPr>
              <w:pStyle w:val="Default"/>
              <w:spacing w:after="100"/>
              <w:jc w:val="center"/>
            </w:pPr>
            <w:r>
              <w:t xml:space="preserve">Leverage Ratios</w:t>
            </w:r>
          </w:p>
          <w:p>
            <w:pPr>
              <w:jc w:val="center"/>
            </w:pPr>
            <w:r>
              <w:drawing>
                <wp:inline distT="0" distB="0" distL="0" distR="0">
                  <wp:extent cx="3333750" cy="16668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3333750" cy="1666875"/>
                          </a:xfrm>
                          <a:prstGeom prst="rect">
                            <a:avLst/>
                          </a:prstGeom>
                        </pic:spPr>
                      </pic:pic>
                    </a:graphicData>
                  </a:graphic>
                </wp:inline>
              </w:drawing>
            </w:r>
          </w:p>
        </w:tc>
        <w:tc>
          <w:tcPr>
            <w:tcBorders>
              <w:top w:val="none"/>
              <w:left w:val="none"/>
              <w:bottom w:val="none"/>
              <w:right w:val="none"/>
            </w:tcBorders>
          </w:tcPr>
          <w:p>
            <w:pPr>
              <w:pStyle w:val="Default"/>
              <w:spacing w:after="100"/>
              <w:jc w:val="center"/>
            </w:pPr>
            <w:r>
              <w:t xml:space="preserve">Working Capital Turnover</w:t>
            </w:r>
          </w:p>
          <w:p>
            <w:pPr>
              <w:jc w:val="center"/>
            </w:pPr>
            <w:r>
              <w:drawing>
                <wp:inline distT="0" distB="0" distL="0" distR="0">
                  <wp:extent cx="3333750" cy="16668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333750" cy="1666875"/>
                          </a:xfrm>
                          <a:prstGeom prst="rect">
                            <a:avLst/>
                          </a:prstGeom>
                        </pic:spPr>
                      </pic:pic>
                    </a:graphicData>
                  </a:graphic>
                </wp:inline>
              </w:drawing>
            </w:r>
          </w:p>
        </w:tc>
      </w:tr>
      <w:tr>
        <w:tc>
          <w:tcPr>
            <w:tcBorders>
              <w:top w:val="none"/>
              <w:left w:val="none"/>
              <w:bottom w:val="none"/>
              <w:right w:val="none"/>
            </w:tcBorders>
          </w:tcPr>
          <w:p>
            <w:pPr>
              <w:pStyle w:val="Default"/>
              <w:spacing w:after="100"/>
              <w:jc w:val="center"/>
            </w:pPr>
            <w:r>
              <w:t xml:space="preserve">Solvency Ratios</w:t>
            </w:r>
          </w:p>
          <w:p>
            <w:pPr>
              <w:jc w:val="center"/>
            </w:pPr>
            <w:r>
              <w:drawing>
                <wp:inline distT="0" distB="0" distL="0" distR="0">
                  <wp:extent cx="3333750" cy="16668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3333750" cy="1666875"/>
                          </a:xfrm>
                          <a:prstGeom prst="rect">
                            <a:avLst/>
                          </a:prstGeom>
                        </pic:spPr>
                      </pic:pic>
                    </a:graphicData>
                  </a:graphic>
                </wp:inline>
              </w:drawing>
            </w:r>
          </w:p>
        </w:tc>
        <w:tc>
          <w:tcPr>
            <w:tcBorders>
              <w:top w:val="none"/>
              <w:left w:val="none"/>
              <w:bottom w:val="none"/>
              <w:right w:val="none"/>
            </w:tcBorders>
          </w:tcPr>
          <w:p>
            <w:pPr>
              <w:pStyle w:val="Default"/>
              <w:spacing w:after="100"/>
              <w:jc w:val="center"/>
            </w:pPr>
            <w:r>
              <w:t xml:space="preserve">Efficiency Ratios</w:t>
            </w:r>
          </w:p>
          <w:p>
            <w:pPr>
              <w:jc w:val="center"/>
            </w:pPr>
            <w:r>
              <w:drawing>
                <wp:inline distT="0" distB="0" distL="0" distR="0">
                  <wp:extent cx="3333750" cy="16668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3333750" cy="1666875"/>
                          </a:xfrm>
                          <a:prstGeom prst="rect">
                            <a:avLst/>
                          </a:prstGeom>
                        </pic:spPr>
                      </pic:pic>
                    </a:graphicData>
                  </a:graphic>
                </wp:inline>
              </w:drawing>
            </w:r>
          </w:p>
        </w:tc>
      </w:tr>
    </w:tbl>
    <w:p>
      <w:r>
        <w:br w:type="page"/>
      </w:r>
    </w:p>
    <w:p>
      <w:pPr>
        <w:pStyle w:val="sectionHeading"/>
        <w:spacing w:after="200"/>
        <w:jc w:val="center"/>
      </w:pPr>
      <w:r>
        <w:t xml:space="preserve">Turnover Method</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40"/>
        <w:gridCol w:w="12"/>
        <w:gridCol w:w="12"/>
        <w:gridCol w:w="12"/>
        <w:gridCol w:w="12"/>
        <w:gridCol w:w="12"/>
      </w:tblGrid>
      <w:tr>
        <w:trPr>
          <w:tblHeader/>
          <w:trHeight w:val="600" w:hRule="atLeast"/>
        </w:trPr>
        <w:tc>
          <w:tcPr>
            <w:tcW w:type="pct" w:w="40%"/>
            <w:tcBorders>
              <w:top w:val="single" w:color="000000" w:sz="1"/>
              <w:left w:val="single" w:color="000000" w:sz="1"/>
              <w:bottom w:val="single" w:color="000000" w:sz="1"/>
              <w:right w:val="single" w:color="000000" w:sz="1"/>
            </w:tcBorders>
            <w:shd w:fill="475569" w:color="475569" w:val="solid"/>
            <w:vAlign w:val="center"/>
          </w:tcPr>
          <w:p>
            <w:pPr>
              <w:pStyle w:val="TableHeaderStyle"/>
              <w:jc w:val="center"/>
            </w:pPr>
            <w:r>
              <w:rPr>
                <w:b/>
                <w:bCs/>
                <w:color w:val="FFFFFF"/>
              </w:rPr>
              <w:t xml:space="preserve">Particulars</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TableHeaderStyle"/>
              <w:jc w:val="center"/>
            </w:pPr>
            <w:r>
              <w:rPr>
                <w:b/>
                <w:bCs/>
                <w:color w:val="FFFFFF"/>
              </w:rPr>
              <w:t xml:space="preserve">2024-2025</w:t>
            </w:r>
          </w:p>
          <w:p>
            <w:pPr>
              <w:pStyle w:val="TableHeaderStyle"/>
              <w:jc w:val="center"/>
            </w:pPr>
            <w:r>
              <w:rPr>
                <w:b/>
                <w:bCs/>
                <w:color w:val="FFFFFF"/>
              </w:rPr>
              <w:t xml:space="preserve">(actual)</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TableHeaderStyle"/>
              <w:jc w:val="center"/>
            </w:pPr>
            <w:r>
              <w:rPr>
                <w:b/>
                <w:bCs/>
                <w:color w:val="FFFFFF"/>
              </w:rPr>
              <w:t xml:space="preserve">2025-2026</w:t>
            </w:r>
          </w:p>
          <w:p>
            <w:pPr>
              <w:pStyle w:val="TableHeaderStyle"/>
              <w:jc w:val="center"/>
            </w:pPr>
            <w:r>
              <w:rPr>
                <w:b/>
                <w:bCs/>
                <w:color w:val="FFFFFF"/>
              </w:rPr>
              <w:t xml:space="preserve">(provisional)</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TableHeaderStyle"/>
              <w:jc w:val="center"/>
            </w:pPr>
            <w:r>
              <w:rPr>
                <w:b/>
                <w:bCs/>
                <w:color w:val="FFFFFF"/>
              </w:rPr>
              <w:t xml:space="preserve">2026-2027</w:t>
            </w:r>
          </w:p>
          <w:p>
            <w:pPr>
              <w:pStyle w:val="TableHeaderStyle"/>
              <w:jc w:val="center"/>
            </w:pPr>
            <w:r>
              <w:rPr>
                <w:b/>
                <w:bCs/>
                <w:color w:val="FFFFFF"/>
              </w:rPr>
              <w:t xml:space="preserve">(projected)</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TableHeaderStyle"/>
              <w:jc w:val="center"/>
            </w:pPr>
            <w:r>
              <w:rPr>
                <w:b/>
                <w:bCs/>
                <w:color w:val="FFFFFF"/>
              </w:rPr>
              <w:t xml:space="preserve">2027-2028</w:t>
            </w:r>
          </w:p>
          <w:p>
            <w:pPr>
              <w:pStyle w:val="TableHeaderStyle"/>
              <w:jc w:val="center"/>
            </w:pPr>
            <w:r>
              <w:rPr>
                <w:b/>
                <w:bCs/>
                <w:color w:val="FFFFFF"/>
              </w:rPr>
              <w:t xml:space="preserve">(projected)</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TableHeaderStyle"/>
              <w:jc w:val="center"/>
            </w:pPr>
            <w:r>
              <w:rPr>
                <w:b/>
                <w:bCs/>
                <w:color w:val="FFFFFF"/>
              </w:rPr>
              <w:t xml:space="preserve">2028-2029</w:t>
            </w:r>
          </w:p>
          <w:p>
            <w:pPr>
              <w:pStyle w:val="TableHeaderStyle"/>
              <w:jc w:val="center"/>
            </w:pPr>
            <w:r>
              <w:rPr>
                <w:b/>
                <w:bCs/>
                <w:color w:val="FFFFFF"/>
              </w:rPr>
              <w:t xml:space="preserve">(projected)</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A. Turnover</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3,60,00,000.00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3,88,80,000.00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4,19,90,400.00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4,53,49,632.00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4,89,77,602.56</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B. 25.00% of (A)</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90,00,000.00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97,20,000.00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1,04,97,600.00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1,13,37,408.00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1,22,44,400.64</w:t>
            </w:r>
          </w:p>
        </w:tc>
      </w:tr>
      <w:tr>
        <w:trPr>
          <w:trHeight w:val="300" w:hRule="atLeast"/>
        </w:trPr>
        <w:tc>
          <w:tcPr>
            <w:tcW w:type="pct" w:w="40%"/>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bCs/>
                <w:color w:val="FFFFFF"/>
              </w:rPr>
              <w:t xml:space="preserve">C. Margin Required at 5.00% of (A)</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18,00,000.00</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19,44,000.00</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20,99,520.00</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22,67,481.60</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24,48,880.13</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D. Margin (NWC)</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35,90,599.88</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76,84,837.72</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1,15,97,269.88</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1,62,52,689.02</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2,31,03,694.30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E. (B - C)</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72,00,000.00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77,76,000.00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83,98,080.00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90,69,926.40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97,95,520.51</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F. (B - D)</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54,09,400.12</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20,35,162.28</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-10,99,669.88</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-49,15,281.02</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-1,08,59,293.66</w:t>
            </w:r>
          </w:p>
        </w:tc>
      </w:tr>
      <w:tr>
        <w:trPr>
          <w:trHeight w:val="300" w:hRule="atLeast"/>
        </w:trPr>
        <w:tc>
          <w:tcPr>
            <w:tcW w:type="pct" w:w="40%"/>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bCs/>
                <w:color w:val="FFFFFF"/>
              </w:rPr>
              <w:t xml:space="preserve">G. Permissible Bank Finance under Turnover Method (B - C)</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72,00,000.00</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77,76,000.00</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83,98,080.00</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90,69,926.40</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97,95,520.51</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H. Proposed / Existing Bank Borrowing</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19,80,000.00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19,80,000.00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19,80,000.00</w:t>
            </w:r>
          </w:p>
        </w:tc>
      </w:tr>
      <w:tr>
        <w:trPr>
          <w:trHeight w:val="300" w:hRule="atLeast"/>
        </w:trPr>
        <w:tc>
          <w:tcPr>
            <w:tcW w:type="pct" w:w="40%"/>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bCs/>
                <w:color w:val="FFFFFF"/>
              </w:rPr>
              <w:t xml:space="preserve">I. Excess Borrowing over Turnover Method Finance</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0.00</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0.00</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0.00</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0.00</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0.00</w:t>
            </w:r>
          </w:p>
        </w:tc>
      </w:tr>
    </w:tbl>
    <w:p>
      <w:pPr>
        <w:spacing w:after="400"/>
      </w:pPr>
    </w:p>
    <w:p>
      <w:r>
        <w:br w:type="page"/>
      </w:r>
    </w:p>
    <w:p>
      <w:pPr>
        <w:pStyle w:val="sectionHeading"/>
        <w:spacing w:after="200"/>
        <w:jc w:val="center"/>
      </w:pPr>
      <w:r>
        <w:t xml:space="preserve">MPBF</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40"/>
        <w:gridCol w:w="12"/>
        <w:gridCol w:w="12"/>
        <w:gridCol w:w="12"/>
        <w:gridCol w:w="12"/>
        <w:gridCol w:w="12"/>
      </w:tblGrid>
      <w:tr>
        <w:trPr>
          <w:tblHeader/>
          <w:trHeight w:val="600" w:hRule="atLeast"/>
        </w:trPr>
        <w:tc>
          <w:tcPr>
            <w:tcW w:type="pct" w:w="40%"/>
            <w:tcBorders>
              <w:top w:val="single" w:color="000000" w:sz="1"/>
              <w:left w:val="single" w:color="000000" w:sz="1"/>
              <w:bottom w:val="single" w:color="000000" w:sz="1"/>
              <w:right w:val="single" w:color="000000" w:sz="1"/>
            </w:tcBorders>
            <w:shd w:fill="475569" w:color="475569" w:val="solid"/>
            <w:vAlign w:val="center"/>
          </w:tcPr>
          <w:p>
            <w:pPr>
              <w:pStyle w:val="TableHeaderStyle"/>
              <w:jc w:val="center"/>
            </w:pPr>
            <w:r>
              <w:rPr>
                <w:b/>
                <w:bCs/>
                <w:color w:val="FFFFFF"/>
              </w:rPr>
              <w:t xml:space="preserve">Particulars</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TableHeaderStyle"/>
              <w:jc w:val="center"/>
            </w:pPr>
            <w:r>
              <w:rPr>
                <w:b/>
                <w:bCs/>
                <w:color w:val="FFFFFF"/>
              </w:rPr>
              <w:t xml:space="preserve">2024-2025</w:t>
            </w:r>
          </w:p>
          <w:p>
            <w:pPr>
              <w:pStyle w:val="TableHeaderStyle"/>
              <w:jc w:val="center"/>
            </w:pPr>
            <w:r>
              <w:rPr>
                <w:b/>
                <w:bCs/>
                <w:color w:val="FFFFFF"/>
              </w:rPr>
              <w:t xml:space="preserve">(actual)</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TableHeaderStyle"/>
              <w:jc w:val="center"/>
            </w:pPr>
            <w:r>
              <w:rPr>
                <w:b/>
                <w:bCs/>
                <w:color w:val="FFFFFF"/>
              </w:rPr>
              <w:t xml:space="preserve">2025-2026</w:t>
            </w:r>
          </w:p>
          <w:p>
            <w:pPr>
              <w:pStyle w:val="TableHeaderStyle"/>
              <w:jc w:val="center"/>
            </w:pPr>
            <w:r>
              <w:rPr>
                <w:b/>
                <w:bCs/>
                <w:color w:val="FFFFFF"/>
              </w:rPr>
              <w:t xml:space="preserve">(provisional)</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TableHeaderStyle"/>
              <w:jc w:val="center"/>
            </w:pPr>
            <w:r>
              <w:rPr>
                <w:b/>
                <w:bCs/>
                <w:color w:val="FFFFFF"/>
              </w:rPr>
              <w:t xml:space="preserve">2026-2027</w:t>
            </w:r>
          </w:p>
          <w:p>
            <w:pPr>
              <w:pStyle w:val="TableHeaderStyle"/>
              <w:jc w:val="center"/>
            </w:pPr>
            <w:r>
              <w:rPr>
                <w:b/>
                <w:bCs/>
                <w:color w:val="FFFFFF"/>
              </w:rPr>
              <w:t xml:space="preserve">(projected)</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TableHeaderStyle"/>
              <w:jc w:val="center"/>
            </w:pPr>
            <w:r>
              <w:rPr>
                <w:b/>
                <w:bCs/>
                <w:color w:val="FFFFFF"/>
              </w:rPr>
              <w:t xml:space="preserve">2027-2028</w:t>
            </w:r>
          </w:p>
          <w:p>
            <w:pPr>
              <w:pStyle w:val="TableHeaderStyle"/>
              <w:jc w:val="center"/>
            </w:pPr>
            <w:r>
              <w:rPr>
                <w:b/>
                <w:bCs/>
                <w:color w:val="FFFFFF"/>
              </w:rPr>
              <w:t xml:space="preserve">(projected)</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TableHeaderStyle"/>
              <w:jc w:val="center"/>
            </w:pPr>
            <w:r>
              <w:rPr>
                <w:b/>
                <w:bCs/>
                <w:color w:val="FFFFFF"/>
              </w:rPr>
              <w:t xml:space="preserve">2028-2029</w:t>
            </w:r>
          </w:p>
          <w:p>
            <w:pPr>
              <w:pStyle w:val="TableHeaderStyle"/>
              <w:jc w:val="center"/>
            </w:pPr>
            <w:r>
              <w:rPr>
                <w:b/>
                <w:bCs/>
                <w:color w:val="FFFFFF"/>
              </w:rPr>
              <w:t xml:space="preserve">(projected)</w:t>
            </w:r>
          </w:p>
        </w:tc>
      </w:tr>
      <w:tr>
        <w:trPr>
          <w:trHeight w:val="300" w:hRule="atLeast"/>
        </w:trPr>
        <w:tc>
          <w:tcPr>
            <w:tcW w:type="pct" w:w="40%"/>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bCs/>
                <w:color w:val="FFFFFF"/>
              </w:rPr>
              <w:t xml:space="preserve">FIRST METHOD OF LENDING</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 Total Current Assets</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75,21,317.34</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1,21,17,371.73</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1,84,86,140.64</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2,37,00,178.31</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2,93,44,558.31</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2. Other Current Liabilities (Other than Bank Borrowing)</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39,30,717.46</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44,32,534.01</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49,08,870.76</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54,67,489.29</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42,60,864.02</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bCs/>
                <w:color w:val="000000"/>
              </w:rPr>
              <w:t xml:space="preserve">3. Working Capital Gap</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35,90,599.88</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76,84,837.72</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1,35,77,269.88</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1,82,32,689.02</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2,50,83,694.29</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4. Min stipulated Net working capital (25% of WCG excluding export receivables)</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8,97,649.97</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19,21,209.43</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33,94,317.47</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45,58,172.25</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62,70,923.57</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5. Actual / Projected Net Working Capital</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35,90,599.88</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76,84,837.72</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1,15,97,269.88</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1,62,52,689.02</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2,31,03,694.30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6. Item 3 minus item 4</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26,92,949.91</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57,63,628.29</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1,01,82,952.41</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1,36,74,516.77</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1,88,12,770.72</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7. Item 3 minus item 5</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19,80,000.00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19,80,000.00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19,79,999.99</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bCs/>
                <w:color w:val="000000"/>
              </w:rPr>
              <w:t xml:space="preserve">8. Maximum Permissible Bank Finance (lower of 6 or 7)</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19,80,000.00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19,80,000.00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19,79,999.99</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9. Excess Borrowing Representing shortfall in NWC</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bCs/>
                <w:color w:val="FFFFFF"/>
              </w:rPr>
              <w:t xml:space="preserve">SECOND METHOD OF LENDING</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 Total Current Assets</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75,21,317.34</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1,21,17,371.73</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1,84,86,140.64</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2,37,00,178.31</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2,93,44,558.31</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2. Other Current Liabilities (Other than Bank Borrowing)</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39,30,717.46</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44,32,534.01</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49,08,870.76</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54,67,489.29</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42,60,864.02</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bCs/>
                <w:color w:val="000000"/>
              </w:rPr>
              <w:t xml:space="preserve">3. Working Capital Gap</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35,90,599.88</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76,84,837.72</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1,35,77,269.88</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1,82,32,689.02</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2,50,83,694.29</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4. Min stipulated Net working capital (25% of Total of Current Assets excluding export receivables)</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18,80,329.33</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30,29,342.93</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46,21,535.16</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59,25,044.58</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73,36,139.58</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5. Actual / Projected Net Working Capital</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35,90,599.88</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76,84,837.72</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1,15,97,269.88</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1,62,52,689.02</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2,31,03,694.30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6. Item 3 minus item 4</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17,10,270.54</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46,55,494.79</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89,55,734.72</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1,23,07,644.44</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1,77,47,554.71</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7. Item 3 minus item 5</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19,80,000.00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19,80,000.00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19,79,999.99</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bCs/>
                <w:color w:val="000000"/>
              </w:rPr>
              <w:t xml:space="preserve">8. Maximum Permissible Bank Finance (lower of 6 or 7)</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19,80,000.00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19,80,000.00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19,79,999.99</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9. Excess Borrowing Representing shortfall in NWC</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r>
    </w:tbl>
    <w:p>
      <w:pPr>
        <w:spacing w:after="400"/>
      </w:pPr>
    </w:p>
    <w:p>
      <w:r>
        <w:br w:type="page"/>
      </w:r>
    </w:p>
    <w:p>
      <w:pPr>
        <w:pStyle w:val="sectionHeading"/>
        <w:spacing w:after="200"/>
        <w:jc w:val="center"/>
      </w:pPr>
      <w:r>
        <w:t xml:space="preserve">Fund Flow Statement</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40"/>
        <w:gridCol w:w="15"/>
        <w:gridCol w:w="15"/>
        <w:gridCol w:w="15"/>
        <w:gridCol w:w="15"/>
      </w:tblGrid>
      <w:tr>
        <w:trPr>
          <w:tblHeader/>
          <w:trHeight w:val="600" w:hRule="atLeast"/>
        </w:trPr>
        <w:tc>
          <w:tcPr>
            <w:tcW w:type="pct" w:w="40%"/>
            <w:tcBorders>
              <w:top w:val="single" w:color="000000" w:sz="1"/>
              <w:left w:val="single" w:color="000000" w:sz="1"/>
              <w:bottom w:val="single" w:color="000000" w:sz="1"/>
              <w:right w:val="single" w:color="000000" w:sz="1"/>
            </w:tcBorders>
            <w:shd w:fill="475569" w:color="475569" w:val="solid"/>
            <w:vAlign w:val="center"/>
          </w:tcPr>
          <w:p>
            <w:pPr>
              <w:pStyle w:val="TableHeaderStyle"/>
              <w:jc w:val="center"/>
            </w:pPr>
            <w:r>
              <w:rPr>
                <w:b/>
                <w:bCs/>
                <w:color w:val="FFFFFF"/>
              </w:rPr>
              <w:t xml:space="preserve">Particulars</w:t>
            </w:r>
          </w:p>
        </w:tc>
        <w:tc>
          <w:tcPr>
            <w:tcW w:type="pct" w:w="15%"/>
            <w:tcBorders>
              <w:top w:val="single" w:color="000000" w:sz="1"/>
              <w:left w:val="single" w:color="000000" w:sz="1"/>
              <w:bottom w:val="single" w:color="000000" w:sz="1"/>
              <w:right w:val="single" w:color="000000" w:sz="1"/>
            </w:tcBorders>
            <w:shd w:fill="475569" w:color="475569" w:val="solid"/>
            <w:vAlign w:val="center"/>
          </w:tcPr>
          <w:p>
            <w:pPr>
              <w:pStyle w:val="TableHeaderStyle"/>
              <w:jc w:val="center"/>
            </w:pPr>
            <w:r>
              <w:rPr>
                <w:b/>
                <w:bCs/>
                <w:color w:val="FFFFFF"/>
              </w:rPr>
              <w:t xml:space="preserve">2025-2026</w:t>
            </w:r>
          </w:p>
          <w:p>
            <w:pPr>
              <w:pStyle w:val="TableHeaderStyle"/>
              <w:jc w:val="center"/>
            </w:pPr>
            <w:r>
              <w:rPr>
                <w:b/>
                <w:bCs/>
                <w:color w:val="FFFFFF"/>
              </w:rPr>
              <w:t xml:space="preserve">(provisional)</w:t>
            </w:r>
          </w:p>
        </w:tc>
        <w:tc>
          <w:tcPr>
            <w:tcW w:type="pct" w:w="15%"/>
            <w:tcBorders>
              <w:top w:val="single" w:color="000000" w:sz="1"/>
              <w:left w:val="single" w:color="000000" w:sz="1"/>
              <w:bottom w:val="single" w:color="000000" w:sz="1"/>
              <w:right w:val="single" w:color="000000" w:sz="1"/>
            </w:tcBorders>
            <w:shd w:fill="475569" w:color="475569" w:val="solid"/>
            <w:vAlign w:val="center"/>
          </w:tcPr>
          <w:p>
            <w:pPr>
              <w:pStyle w:val="TableHeaderStyle"/>
              <w:jc w:val="center"/>
            </w:pPr>
            <w:r>
              <w:rPr>
                <w:b/>
                <w:bCs/>
                <w:color w:val="FFFFFF"/>
              </w:rPr>
              <w:t xml:space="preserve">2026-2027</w:t>
            </w:r>
          </w:p>
          <w:p>
            <w:pPr>
              <w:pStyle w:val="TableHeaderStyle"/>
              <w:jc w:val="center"/>
            </w:pPr>
            <w:r>
              <w:rPr>
                <w:b/>
                <w:bCs/>
                <w:color w:val="FFFFFF"/>
              </w:rPr>
              <w:t xml:space="preserve">(projected)</w:t>
            </w:r>
          </w:p>
        </w:tc>
        <w:tc>
          <w:tcPr>
            <w:tcW w:type="pct" w:w="15%"/>
            <w:tcBorders>
              <w:top w:val="single" w:color="000000" w:sz="1"/>
              <w:left w:val="single" w:color="000000" w:sz="1"/>
              <w:bottom w:val="single" w:color="000000" w:sz="1"/>
              <w:right w:val="single" w:color="000000" w:sz="1"/>
            </w:tcBorders>
            <w:shd w:fill="475569" w:color="475569" w:val="solid"/>
            <w:vAlign w:val="center"/>
          </w:tcPr>
          <w:p>
            <w:pPr>
              <w:pStyle w:val="TableHeaderStyle"/>
              <w:jc w:val="center"/>
            </w:pPr>
            <w:r>
              <w:rPr>
                <w:b/>
                <w:bCs/>
                <w:color w:val="FFFFFF"/>
              </w:rPr>
              <w:t xml:space="preserve">2027-2028</w:t>
            </w:r>
          </w:p>
          <w:p>
            <w:pPr>
              <w:pStyle w:val="TableHeaderStyle"/>
              <w:jc w:val="center"/>
            </w:pPr>
            <w:r>
              <w:rPr>
                <w:b/>
                <w:bCs/>
                <w:color w:val="FFFFFF"/>
              </w:rPr>
              <w:t xml:space="preserve">(projected)</w:t>
            </w:r>
          </w:p>
        </w:tc>
        <w:tc>
          <w:tcPr>
            <w:tcW w:type="pct" w:w="15%"/>
            <w:tcBorders>
              <w:top w:val="single" w:color="000000" w:sz="1"/>
              <w:left w:val="single" w:color="000000" w:sz="1"/>
              <w:bottom w:val="single" w:color="000000" w:sz="1"/>
              <w:right w:val="single" w:color="000000" w:sz="1"/>
            </w:tcBorders>
            <w:shd w:fill="475569" w:color="475569" w:val="solid"/>
            <w:vAlign w:val="center"/>
          </w:tcPr>
          <w:p>
            <w:pPr>
              <w:pStyle w:val="TableHeaderStyle"/>
              <w:jc w:val="center"/>
            </w:pPr>
            <w:r>
              <w:rPr>
                <w:b/>
                <w:bCs/>
                <w:color w:val="FFFFFF"/>
              </w:rPr>
              <w:t xml:space="preserve">2028-2029</w:t>
            </w:r>
          </w:p>
          <w:p>
            <w:pPr>
              <w:pStyle w:val="TableHeaderStyle"/>
              <w:jc w:val="center"/>
            </w:pPr>
            <w:r>
              <w:rPr>
                <w:b/>
                <w:bCs/>
                <w:color w:val="FFFFFF"/>
              </w:rPr>
              <w:t xml:space="preserve">(projected)</w:t>
            </w:r>
          </w:p>
        </w:tc>
      </w:tr>
      <w:tr>
        <w:trPr>
          <w:trHeight w:val="300" w:hRule="atLeast"/>
        </w:trPr>
        <w:tc>
          <w:tcPr>
            <w:tcW w:type="pct" w:w="40%"/>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bCs/>
                <w:color w:val="FFFFFF"/>
              </w:rPr>
              <w:t xml:space="preserve">1. SOURCES</w:t>
            </w:r>
          </w:p>
        </w:tc>
        <w:tc>
          <w:tcPr>
            <w:tcW w:type="pct" w:w="15%"/>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5%"/>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5%"/>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5%"/>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(a) Net Profit</w:t>
            </w:r>
          </w:p>
        </w:tc>
        <w:tc>
          <w:tcPr>
            <w:tcW w:type="pct" w:w="1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45,88,135.21</w:t>
            </w:r>
          </w:p>
        </w:tc>
        <w:tc>
          <w:tcPr>
            <w:tcW w:type="pct" w:w="1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52,27,385.32</w:t>
            </w:r>
          </w:p>
        </w:tc>
        <w:tc>
          <w:tcPr>
            <w:tcW w:type="pct" w:w="1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60,36,132.26</w:t>
            </w:r>
          </w:p>
        </w:tc>
        <w:tc>
          <w:tcPr>
            <w:tcW w:type="pct" w:w="1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68,75,787.81</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(b) Depreciation</w:t>
            </w:r>
          </w:p>
        </w:tc>
        <w:tc>
          <w:tcPr>
            <w:tcW w:type="pct" w:w="1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18,63,000.00</w:t>
            </w:r>
          </w:p>
        </w:tc>
        <w:tc>
          <w:tcPr>
            <w:tcW w:type="pct" w:w="1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16,07,850.00</w:t>
            </w:r>
          </w:p>
        </w:tc>
        <w:tc>
          <w:tcPr>
            <w:tcW w:type="pct" w:w="1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13,88,542.51</w:t>
            </w:r>
          </w:p>
        </w:tc>
        <w:tc>
          <w:tcPr>
            <w:tcW w:type="pct" w:w="1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11,99,944.12</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(c) Increase in Capital</w:t>
            </w:r>
          </w:p>
        </w:tc>
        <w:tc>
          <w:tcPr>
            <w:tcW w:type="pct" w:w="1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0.01</w:t>
            </w:r>
          </w:p>
        </w:tc>
        <w:tc>
          <w:tcPr>
            <w:tcW w:type="pct" w:w="1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(d) Increase in term liabilities, including public deposit</w:t>
            </w:r>
          </w:p>
        </w:tc>
        <w:tc>
          <w:tcPr>
            <w:tcW w:type="pct" w:w="1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(e) Decrease in Other Non Current Assets</w:t>
            </w:r>
          </w:p>
        </w:tc>
        <w:tc>
          <w:tcPr>
            <w:tcW w:type="pct" w:w="1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(f) Other (income tax w/o)</w:t>
            </w:r>
          </w:p>
        </w:tc>
        <w:tc>
          <w:tcPr>
            <w:tcW w:type="pct" w:w="1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(g) Share application refund</w:t>
            </w:r>
          </w:p>
        </w:tc>
        <w:tc>
          <w:tcPr>
            <w:tcW w:type="pct" w:w="1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bCs/>
                <w:color w:val="FFFFFF"/>
              </w:rPr>
              <w:t xml:space="preserve">  (h) Total</w:t>
            </w:r>
          </w:p>
        </w:tc>
        <w:tc>
          <w:tcPr>
            <w:tcW w:type="pct" w:w="15%"/>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64,51,135.22</w:t>
            </w:r>
          </w:p>
        </w:tc>
        <w:tc>
          <w:tcPr>
            <w:tcW w:type="pct" w:w="15%"/>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68,35,235.32</w:t>
            </w:r>
          </w:p>
        </w:tc>
        <w:tc>
          <w:tcPr>
            <w:tcW w:type="pct" w:w="15%"/>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74,24,674.77</w:t>
            </w:r>
          </w:p>
        </w:tc>
        <w:tc>
          <w:tcPr>
            <w:tcW w:type="pct" w:w="15%"/>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80,75,731.93</w:t>
            </w:r>
          </w:p>
        </w:tc>
      </w:tr>
      <w:tr>
        <w:trPr>
          <w:trHeight w:val="300" w:hRule="atLeast"/>
        </w:trPr>
        <w:tc>
          <w:tcPr>
            <w:tcW w:type="pct" w:w="40%"/>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bCs/>
                <w:color w:val="FFFFFF"/>
              </w:rPr>
              <w:t xml:space="preserve">2. USE</w:t>
            </w:r>
          </w:p>
        </w:tc>
        <w:tc>
          <w:tcPr>
            <w:tcW w:type="pct" w:w="15%"/>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5%"/>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5%"/>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5%"/>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(a) Purchase of Fixed Assets</w:t>
            </w:r>
          </w:p>
        </w:tc>
        <w:tc>
          <w:tcPr>
            <w:tcW w:type="pct" w:w="1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(b) Net loss</w:t>
            </w:r>
          </w:p>
        </w:tc>
        <w:tc>
          <w:tcPr>
            <w:tcW w:type="pct" w:w="1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(c) Decrease in capital</w:t>
            </w:r>
          </w:p>
        </w:tc>
        <w:tc>
          <w:tcPr>
            <w:tcW w:type="pct" w:w="1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0.02</w:t>
            </w:r>
          </w:p>
        </w:tc>
        <w:tc>
          <w:tcPr>
            <w:tcW w:type="pct" w:w="1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(d) Decrease in term liabilities, including public deposits</w:t>
            </w:r>
          </w:p>
        </w:tc>
        <w:tc>
          <w:tcPr>
            <w:tcW w:type="pct" w:w="1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13,55,828.99</w:t>
            </w:r>
          </w:p>
        </w:tc>
        <w:tc>
          <w:tcPr>
            <w:tcW w:type="pct" w:w="1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14,90,391.73</w:t>
            </w:r>
          </w:p>
        </w:tc>
        <w:tc>
          <w:tcPr>
            <w:tcW w:type="pct" w:w="1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16,38,309.51</w:t>
            </w:r>
          </w:p>
        </w:tc>
        <w:tc>
          <w:tcPr>
            <w:tcW w:type="pct" w:w="1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(e) Increase in Other non-current Assets</w:t>
            </w:r>
          </w:p>
        </w:tc>
        <w:tc>
          <w:tcPr>
            <w:tcW w:type="pct" w:w="1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10,01,068.39</w:t>
            </w:r>
          </w:p>
        </w:tc>
        <w:tc>
          <w:tcPr>
            <w:tcW w:type="pct" w:w="1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14,32,411.41</w:t>
            </w:r>
          </w:p>
        </w:tc>
        <w:tc>
          <w:tcPr>
            <w:tcW w:type="pct" w:w="1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11,30,946.12</w:t>
            </w:r>
          </w:p>
        </w:tc>
        <w:tc>
          <w:tcPr>
            <w:tcW w:type="pct" w:w="1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12,24,726.65</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(f) Dividend / Drawings / Withdrawals</w:t>
            </w:r>
          </w:p>
        </w:tc>
        <w:tc>
          <w:tcPr>
            <w:tcW w:type="pct" w:w="1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(g) Others (share application)</w:t>
            </w:r>
          </w:p>
        </w:tc>
        <w:tc>
          <w:tcPr>
            <w:tcW w:type="pct" w:w="1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(h) Decrease in general reserve (net Deferred tax)</w:t>
            </w:r>
          </w:p>
        </w:tc>
        <w:tc>
          <w:tcPr>
            <w:tcW w:type="pct" w:w="1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bCs/>
                <w:color w:val="FFFFFF"/>
              </w:rPr>
              <w:t xml:space="preserve">  (i) Total</w:t>
            </w:r>
          </w:p>
        </w:tc>
        <w:tc>
          <w:tcPr>
            <w:tcW w:type="pct" w:w="15%"/>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23,56,897.38</w:t>
            </w:r>
          </w:p>
        </w:tc>
        <w:tc>
          <w:tcPr>
            <w:tcW w:type="pct" w:w="15%"/>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29,22,803.16</w:t>
            </w:r>
          </w:p>
        </w:tc>
        <w:tc>
          <w:tcPr>
            <w:tcW w:type="pct" w:w="15%"/>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27,69,255.63</w:t>
            </w:r>
          </w:p>
        </w:tc>
        <w:tc>
          <w:tcPr>
            <w:tcW w:type="pct" w:w="15%"/>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12,24,726.65</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bCs/>
                <w:color w:val="000000"/>
              </w:rPr>
              <w:t xml:space="preserve">3. LONG TERM SURPLUS/DEFICIT</w:t>
            </w:r>
          </w:p>
        </w:tc>
        <w:tc>
          <w:tcPr>
            <w:tcW w:type="pct" w:w="1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40,94,237.84</w:t>
            </w:r>
          </w:p>
        </w:tc>
        <w:tc>
          <w:tcPr>
            <w:tcW w:type="pct" w:w="1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39,12,432.16</w:t>
            </w:r>
          </w:p>
        </w:tc>
        <w:tc>
          <w:tcPr>
            <w:tcW w:type="pct" w:w="1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46,55,419.14</w:t>
            </w:r>
          </w:p>
        </w:tc>
        <w:tc>
          <w:tcPr>
            <w:tcW w:type="pct" w:w="1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68,51,005.28</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4. Increase / Decrease in Current Assets</w:t>
            </w:r>
          </w:p>
        </w:tc>
        <w:tc>
          <w:tcPr>
            <w:tcW w:type="pct" w:w="1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45,96,054.39</w:t>
            </w:r>
          </w:p>
        </w:tc>
        <w:tc>
          <w:tcPr>
            <w:tcW w:type="pct" w:w="1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63,68,768.91</w:t>
            </w:r>
          </w:p>
        </w:tc>
        <w:tc>
          <w:tcPr>
            <w:tcW w:type="pct" w:w="1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52,14,037.67</w:t>
            </w:r>
          </w:p>
        </w:tc>
        <w:tc>
          <w:tcPr>
            <w:tcW w:type="pct" w:w="1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56,44,380.00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5. Increase / Decrease in Current Liabilities</w:t>
            </w:r>
          </w:p>
        </w:tc>
        <w:tc>
          <w:tcPr>
            <w:tcW w:type="pct" w:w="1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5,01,816.55</w:t>
            </w:r>
          </w:p>
        </w:tc>
        <w:tc>
          <w:tcPr>
            <w:tcW w:type="pct" w:w="1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4,76,336.75</w:t>
            </w:r>
          </w:p>
        </w:tc>
        <w:tc>
          <w:tcPr>
            <w:tcW w:type="pct" w:w="1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5,58,618.53</w:t>
            </w:r>
          </w:p>
        </w:tc>
        <w:tc>
          <w:tcPr>
            <w:tcW w:type="pct" w:w="1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-12,06,625.27</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bCs/>
                <w:color w:val="000000"/>
              </w:rPr>
              <w:t xml:space="preserve">6. Increase / Decrease in Working Capital gap</w:t>
            </w:r>
          </w:p>
        </w:tc>
        <w:tc>
          <w:tcPr>
            <w:tcW w:type="pct" w:w="1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40,94,237.84</w:t>
            </w:r>
          </w:p>
        </w:tc>
        <w:tc>
          <w:tcPr>
            <w:tcW w:type="pct" w:w="1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58,92,432.16</w:t>
            </w:r>
          </w:p>
        </w:tc>
        <w:tc>
          <w:tcPr>
            <w:tcW w:type="pct" w:w="1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46,55,419.14</w:t>
            </w:r>
          </w:p>
        </w:tc>
        <w:tc>
          <w:tcPr>
            <w:tcW w:type="pct" w:w="1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68,51,005.27</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bCs/>
                <w:color w:val="000000"/>
              </w:rPr>
              <w:t xml:space="preserve">7. Net Surplus / Deficit</w:t>
            </w:r>
          </w:p>
        </w:tc>
        <w:tc>
          <w:tcPr>
            <w:tcW w:type="pct" w:w="1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-19,80,000.00</w:t>
            </w:r>
          </w:p>
        </w:tc>
        <w:tc>
          <w:tcPr>
            <w:tcW w:type="pct" w:w="1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0.01</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8. Increase / Decrease in Bank Borrowings</w:t>
            </w:r>
          </w:p>
        </w:tc>
        <w:tc>
          <w:tcPr>
            <w:tcW w:type="pct" w:w="1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19,80,000.00</w:t>
            </w:r>
          </w:p>
        </w:tc>
        <w:tc>
          <w:tcPr>
            <w:tcW w:type="pct" w:w="1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bCs/>
                <w:color w:val="000000"/>
              </w:rPr>
              <w:t xml:space="preserve">INCREASE / DECREASE IN NET SALES</w:t>
            </w:r>
          </w:p>
        </w:tc>
        <w:tc>
          <w:tcPr>
            <w:tcW w:type="pct" w:w="1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28,80,000.00</w:t>
            </w:r>
          </w:p>
        </w:tc>
        <w:tc>
          <w:tcPr>
            <w:tcW w:type="pct" w:w="1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31,10,400.00</w:t>
            </w:r>
          </w:p>
        </w:tc>
        <w:tc>
          <w:tcPr>
            <w:tcW w:type="pct" w:w="1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33,59,232.00</w:t>
            </w:r>
          </w:p>
        </w:tc>
        <w:tc>
          <w:tcPr>
            <w:tcW w:type="pct" w:w="1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36,27,970.56</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bCs/>
                <w:color w:val="000000"/>
              </w:rPr>
              <w:t xml:space="preserve">*Break-Up of (4)</w:t>
            </w:r>
          </w:p>
        </w:tc>
        <w:tc>
          <w:tcPr>
            <w:tcW w:type="pct" w:w="1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(i) Increase / Decrease in Raw Material</w:t>
            </w:r>
          </w:p>
        </w:tc>
        <w:tc>
          <w:tcPr>
            <w:tcW w:type="pct" w:w="1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(ii) Increase / Decrease in Stock in Process</w:t>
            </w:r>
          </w:p>
        </w:tc>
        <w:tc>
          <w:tcPr>
            <w:tcW w:type="pct" w:w="1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(iii) Increase / Decrease in Finished Goods</w:t>
            </w:r>
          </w:p>
        </w:tc>
        <w:tc>
          <w:tcPr>
            <w:tcW w:type="pct" w:w="1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2,76,164.39</w:t>
            </w:r>
          </w:p>
        </w:tc>
        <w:tc>
          <w:tcPr>
            <w:tcW w:type="pct" w:w="1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2,98,257.53</w:t>
            </w:r>
          </w:p>
        </w:tc>
        <w:tc>
          <w:tcPr>
            <w:tcW w:type="pct" w:w="1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3,22,118.14</w:t>
            </w:r>
          </w:p>
        </w:tc>
        <w:tc>
          <w:tcPr>
            <w:tcW w:type="pct" w:w="1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3,47,887.59</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bCs/>
                <w:color w:val="000000"/>
              </w:rPr>
              <w:t xml:space="preserve">(iv) Increase / Decrease in receivables</w:t>
            </w:r>
          </w:p>
        </w:tc>
        <w:tc>
          <w:tcPr>
            <w:tcW w:type="pct" w:w="1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(a) Domestic</w:t>
            </w:r>
          </w:p>
        </w:tc>
        <w:tc>
          <w:tcPr>
            <w:tcW w:type="pct" w:w="1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3,15,616.44</w:t>
            </w:r>
          </w:p>
        </w:tc>
        <w:tc>
          <w:tcPr>
            <w:tcW w:type="pct" w:w="1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3,40,865.75</w:t>
            </w:r>
          </w:p>
        </w:tc>
        <w:tc>
          <w:tcPr>
            <w:tcW w:type="pct" w:w="1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3,68,135.01</w:t>
            </w:r>
          </w:p>
        </w:tc>
        <w:tc>
          <w:tcPr>
            <w:tcW w:type="pct" w:w="1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3,97,585.82</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(b) Export</w:t>
            </w:r>
          </w:p>
        </w:tc>
        <w:tc>
          <w:tcPr>
            <w:tcW w:type="pct" w:w="1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bCs/>
                <w:color w:val="000000"/>
              </w:rPr>
              <w:t xml:space="preserve">(v) Increase / Decrease in consumables</w:t>
            </w:r>
          </w:p>
        </w:tc>
        <w:tc>
          <w:tcPr>
            <w:tcW w:type="pct" w:w="1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(a) Imported</w:t>
            </w:r>
          </w:p>
        </w:tc>
        <w:tc>
          <w:tcPr>
            <w:tcW w:type="pct" w:w="1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(b) Indigenous</w:t>
            </w:r>
          </w:p>
        </w:tc>
        <w:tc>
          <w:tcPr>
            <w:tcW w:type="pct" w:w="1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(vi) Increase / Decrease in Direct Expenses</w:t>
            </w:r>
          </w:p>
        </w:tc>
        <w:tc>
          <w:tcPr>
            <w:tcW w:type="pct" w:w="1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(vii) Increase / Decrease in other current assets</w:t>
            </w:r>
          </w:p>
        </w:tc>
        <w:tc>
          <w:tcPr>
            <w:tcW w:type="pct" w:w="1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40,04,273.56</w:t>
            </w:r>
          </w:p>
        </w:tc>
        <w:tc>
          <w:tcPr>
            <w:tcW w:type="pct" w:w="1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57,29,645.63</w:t>
            </w:r>
          </w:p>
        </w:tc>
        <w:tc>
          <w:tcPr>
            <w:tcW w:type="pct" w:w="1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45,23,784.52</w:t>
            </w:r>
          </w:p>
        </w:tc>
        <w:tc>
          <w:tcPr>
            <w:tcW w:type="pct" w:w="1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48,98,906.59</w:t>
            </w:r>
          </w:p>
        </w:tc>
      </w:tr>
      <w:tr>
        <w:trPr>
          <w:trHeight w:val="300" w:hRule="atLeast"/>
        </w:trPr>
        <w:tc>
          <w:tcPr>
            <w:tcW w:type="pct" w:w="40%"/>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bCs/>
                <w:color w:val="FFFFFF"/>
              </w:rPr>
              <w:t xml:space="preserve">Total</w:t>
            </w:r>
          </w:p>
        </w:tc>
        <w:tc>
          <w:tcPr>
            <w:tcW w:type="pct" w:w="15%"/>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45,96,054.39</w:t>
            </w:r>
          </w:p>
        </w:tc>
        <w:tc>
          <w:tcPr>
            <w:tcW w:type="pct" w:w="15%"/>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63,68,768.91</w:t>
            </w:r>
          </w:p>
        </w:tc>
        <w:tc>
          <w:tcPr>
            <w:tcW w:type="pct" w:w="15%"/>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52,14,037.67</w:t>
            </w:r>
          </w:p>
        </w:tc>
        <w:tc>
          <w:tcPr>
            <w:tcW w:type="pct" w:w="15%"/>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56,44,380.00</w:t>
            </w:r>
          </w:p>
        </w:tc>
      </w:tr>
    </w:tbl>
    <w:p>
      <w:pPr>
        <w:spacing w:after="400"/>
      </w:pPr>
    </w:p>
    <w:p>
      <w:r>
        <w:br w:type="page"/>
      </w:r>
    </w:p>
    <w:p>
      <w:pPr>
        <w:pStyle w:val="sectionHeading"/>
        <w:spacing w:after="200"/>
        <w:jc w:val="center"/>
      </w:pPr>
      <w:r>
        <w:t xml:space="preserve">Cash Flow</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40"/>
        <w:gridCol w:w="12"/>
        <w:gridCol w:w="12"/>
        <w:gridCol w:w="12"/>
        <w:gridCol w:w="12"/>
        <w:gridCol w:w="12"/>
      </w:tblGrid>
      <w:tr>
        <w:trPr>
          <w:tblHeader/>
          <w:trHeight w:val="600" w:hRule="atLeast"/>
        </w:trPr>
        <w:tc>
          <w:tcPr>
            <w:tcW w:type="pct" w:w="40%"/>
            <w:tcBorders>
              <w:top w:val="single" w:color="000000" w:sz="1"/>
              <w:left w:val="single" w:color="000000" w:sz="1"/>
              <w:bottom w:val="single" w:color="000000" w:sz="1"/>
              <w:right w:val="single" w:color="000000" w:sz="1"/>
            </w:tcBorders>
            <w:shd w:fill="475569" w:color="475569" w:val="solid"/>
            <w:vAlign w:val="center"/>
          </w:tcPr>
          <w:p>
            <w:pPr>
              <w:pStyle w:val="TableHeaderStyle"/>
              <w:jc w:val="center"/>
            </w:pPr>
            <w:r>
              <w:rPr>
                <w:b/>
                <w:bCs/>
                <w:color w:val="FFFFFF"/>
              </w:rPr>
              <w:t xml:space="preserve">Particulars</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TableHeaderStyle"/>
              <w:jc w:val="center"/>
            </w:pPr>
            <w:r>
              <w:rPr>
                <w:b/>
                <w:bCs/>
                <w:color w:val="FFFFFF"/>
              </w:rPr>
              <w:t xml:space="preserve">2024-2025</w:t>
            </w:r>
          </w:p>
          <w:p>
            <w:pPr>
              <w:pStyle w:val="TableHeaderStyle"/>
              <w:jc w:val="center"/>
            </w:pPr>
            <w:r>
              <w:rPr>
                <w:b/>
                <w:bCs/>
                <w:color w:val="FFFFFF"/>
              </w:rPr>
              <w:t xml:space="preserve">(actual)</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TableHeaderStyle"/>
              <w:jc w:val="center"/>
            </w:pPr>
            <w:r>
              <w:rPr>
                <w:b/>
                <w:bCs/>
                <w:color w:val="FFFFFF"/>
              </w:rPr>
              <w:t xml:space="preserve">2025-2026</w:t>
            </w:r>
          </w:p>
          <w:p>
            <w:pPr>
              <w:pStyle w:val="TableHeaderStyle"/>
              <w:jc w:val="center"/>
            </w:pPr>
            <w:r>
              <w:rPr>
                <w:b/>
                <w:bCs/>
                <w:color w:val="FFFFFF"/>
              </w:rPr>
              <w:t xml:space="preserve">(provisional)</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TableHeaderStyle"/>
              <w:jc w:val="center"/>
            </w:pPr>
            <w:r>
              <w:rPr>
                <w:b/>
                <w:bCs/>
                <w:color w:val="FFFFFF"/>
              </w:rPr>
              <w:t xml:space="preserve">2026-2027</w:t>
            </w:r>
          </w:p>
          <w:p>
            <w:pPr>
              <w:pStyle w:val="TableHeaderStyle"/>
              <w:jc w:val="center"/>
            </w:pPr>
            <w:r>
              <w:rPr>
                <w:b/>
                <w:bCs/>
                <w:color w:val="FFFFFF"/>
              </w:rPr>
              <w:t xml:space="preserve">(projected)</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TableHeaderStyle"/>
              <w:jc w:val="center"/>
            </w:pPr>
            <w:r>
              <w:rPr>
                <w:b/>
                <w:bCs/>
                <w:color w:val="FFFFFF"/>
              </w:rPr>
              <w:t xml:space="preserve">2027-2028</w:t>
            </w:r>
          </w:p>
          <w:p>
            <w:pPr>
              <w:pStyle w:val="TableHeaderStyle"/>
              <w:jc w:val="center"/>
            </w:pPr>
            <w:r>
              <w:rPr>
                <w:b/>
                <w:bCs/>
                <w:color w:val="FFFFFF"/>
              </w:rPr>
              <w:t xml:space="preserve">(projected)</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TableHeaderStyle"/>
              <w:jc w:val="center"/>
            </w:pPr>
            <w:r>
              <w:rPr>
                <w:b/>
                <w:bCs/>
                <w:color w:val="FFFFFF"/>
              </w:rPr>
              <w:t xml:space="preserve">2028-2029</w:t>
            </w:r>
          </w:p>
          <w:p>
            <w:pPr>
              <w:pStyle w:val="TableHeaderStyle"/>
              <w:jc w:val="center"/>
            </w:pPr>
            <w:r>
              <w:rPr>
                <w:b/>
                <w:bCs/>
                <w:color w:val="FFFFFF"/>
              </w:rPr>
              <w:t xml:space="preserve">(projected)</w:t>
            </w:r>
          </w:p>
        </w:tc>
      </w:tr>
      <w:tr>
        <w:trPr>
          <w:trHeight w:val="300" w:hRule="atLeast"/>
        </w:trPr>
        <w:tc>
          <w:tcPr>
            <w:tcW w:type="pct" w:w="40%"/>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bCs/>
                <w:color w:val="FFFFFF"/>
              </w:rPr>
              <w:t xml:space="preserve">A. SOURCES OF FUNDS</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 Net Profit after tax</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38,17,083.92</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45,88,135.21</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52,27,385.32</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60,36,132.26</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68,75,787.81</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2. Depreciation</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21,60,000.00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18,63,000.00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16,07,850.00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13,88,542.51</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11,99,944.12</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3. Deferred Tax Provision</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3a. Current Tax Provision</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13,41,137.60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16,12,047.50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18,36,648.89</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21,20,803.23</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24,15,817.34</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4. Increase in Capital (excl. reserves carry forward)</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1,11,60,000.00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0.01</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5. Increase in Other Reserves/Surplus</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6. Increase in Term Liabilities</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57,17,945.71</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7. Increase in Bank WC Borrowings</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19,80,000.00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8. Increase in other short term borrowings</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9. Increase in Creditors (Trade)</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13,56,164.38</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1,08,493.15</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1,17,172.61</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1,26,546.41</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1,36,670.12</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10. Increase in other Current Liabilities</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11. Decrease in Inventory</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12. Decrease in Receivables</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13. Decrease in other current assets</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14. Decrease in other non-current assets</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bCs/>
                <w:color w:val="FFFFFF"/>
              </w:rPr>
              <w:t xml:space="preserve">TOTAL SOURCES (A)</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2,55,52,331.61</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81,71,675.87</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1,07,69,056.82</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96,72,024.41</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1,06,28,219.39</w:t>
            </w:r>
          </w:p>
        </w:tc>
      </w:tr>
      <w:tr>
        <w:trPr>
          <w:trHeight w:val="300" w:hRule="atLeast"/>
        </w:trPr>
        <w:tc>
          <w:tcPr>
            <w:tcW w:type="pct" w:w="40%"/>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bCs/>
                <w:color w:val="FFFFFF"/>
              </w:rPr>
              <w:t xml:space="preserve">B. USES OF FUNDS</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 Net Loss (if any)</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2. Increase in Inventory</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34,52,054.79</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2,76,164.39</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2,98,257.53</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3,22,118.14</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3,47,887.59</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3. Increase in Receivables</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39,45,205.48</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3,15,616.44</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3,40,865.75</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3,68,135.01</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3,97,585.82</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4. Increase in other current assets</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5. Decrease in Capital</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0.02</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6. Decrease in Other Reserves/Surplus</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7. Decrease in Term Liabilities</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12,33,415.49</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13,55,828.98</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14,90,391.73</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16,38,309.51</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8. Decrease in Bank WC Borrowings</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9. Decrease in other short term borrowings</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10. Decrease in Creditors (Trade)</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11. Decrease in other Current Liabilities</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12. Purchase of Fixed Assets</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1,80,00,000.00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13. Increase in other non-current assets</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31,014.27</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10,01,068.39</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14,32,411.41</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11,30,946.12</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12,24,726.65</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14. Drawings / Dividends</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15. Taxes Paid</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13,41,137.60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16,12,047.50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18,36,648.89</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21,20,803.22</w:t>
            </w:r>
          </w:p>
        </w:tc>
      </w:tr>
      <w:tr>
        <w:trPr>
          <w:trHeight w:val="300" w:hRule="atLeast"/>
        </w:trPr>
        <w:tc>
          <w:tcPr>
            <w:tcW w:type="pct" w:w="40%"/>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bCs/>
                <w:color w:val="FFFFFF"/>
              </w:rPr>
              <w:t xml:space="preserve">TOTAL USES (B)</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2,54,28,274.54</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41,67,402.31</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50,39,411.19</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51,48,239.89</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57,29,312.79</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bCs/>
                <w:color w:val="000000"/>
              </w:rPr>
              <w:t xml:space="preserve">C. NET CASH FLOW (A - B)</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1,24,057.07</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40,04,273.56</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57,29,645.63</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45,23,784.52</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48,98,906.60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D. OPENING CASH AND BANK</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1,24,057.07</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41,28,330.63</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98,57,976.26</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1,43,81,760.78</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bCs/>
                <w:color w:val="000000"/>
              </w:rPr>
              <w:t xml:space="preserve">E. CLOSING CASH AND BANK (C + D)</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1,24,057.07</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41,28,330.63</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98,57,976.26</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1,43,81,760.78</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1,92,80,667.38</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F. CASH AS PER BALANCE SHEET</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1,24,057.07</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41,28,330.63</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98,57,976.26</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1,43,81,760.78</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1,92,80,667.37</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bCs/>
                <w:color w:val="000000"/>
              </w:rPr>
              <w:t xml:space="preserve">G. DIFFERENCE (E - F)</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0.01</w:t>
            </w:r>
          </w:p>
        </w:tc>
      </w:tr>
    </w:tbl>
    <w:p>
      <w:pPr>
        <w:spacing w:after="400"/>
      </w:pPr>
    </w:p>
    <w:p>
      <w:r>
        <w:br w:type="page"/>
      </w:r>
    </w:p>
    <w:p>
      <w:pPr>
        <w:pStyle w:val="sectionHeading"/>
        <w:spacing w:after="200"/>
        <w:jc w:val="center"/>
      </w:pPr>
      <w:r>
        <w:t xml:space="preserve">DSCR Analysis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40"/>
        <w:gridCol w:w="12"/>
        <w:gridCol w:w="12"/>
        <w:gridCol w:w="12"/>
        <w:gridCol w:w="12"/>
        <w:gridCol w:w="12"/>
      </w:tblGrid>
      <w:tr>
        <w:trPr>
          <w:tblHeader/>
          <w:trHeight w:val="600" w:hRule="atLeast"/>
        </w:trPr>
        <w:tc>
          <w:tcPr>
            <w:tcW w:type="pct" w:w="40%"/>
            <w:tcBorders>
              <w:top w:val="single" w:color="000000" w:sz="1"/>
              <w:left w:val="single" w:color="000000" w:sz="1"/>
              <w:bottom w:val="single" w:color="000000" w:sz="1"/>
              <w:right w:val="single" w:color="000000" w:sz="1"/>
            </w:tcBorders>
            <w:shd w:fill="475569" w:color="475569" w:val="solid"/>
            <w:vAlign w:val="center"/>
          </w:tcPr>
          <w:p>
            <w:pPr>
              <w:pStyle w:val="TableHeaderStyle"/>
              <w:jc w:val="center"/>
            </w:pPr>
            <w:r>
              <w:rPr>
                <w:b/>
                <w:bCs/>
                <w:color w:val="FFFFFF"/>
              </w:rPr>
              <w:t xml:space="preserve">Particulars</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TableHeaderStyle"/>
              <w:jc w:val="center"/>
            </w:pPr>
            <w:r>
              <w:rPr>
                <w:b/>
                <w:bCs/>
                <w:color w:val="FFFFFF"/>
              </w:rPr>
              <w:t xml:space="preserve">2024-2025</w:t>
            </w:r>
          </w:p>
          <w:p>
            <w:pPr>
              <w:pStyle w:val="TableHeaderStyle"/>
              <w:jc w:val="center"/>
            </w:pPr>
            <w:r>
              <w:rPr>
                <w:b/>
                <w:bCs/>
                <w:color w:val="FFFFFF"/>
              </w:rPr>
              <w:t xml:space="preserve">(actual)</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TableHeaderStyle"/>
              <w:jc w:val="center"/>
            </w:pPr>
            <w:r>
              <w:rPr>
                <w:b/>
                <w:bCs/>
                <w:color w:val="FFFFFF"/>
              </w:rPr>
              <w:t xml:space="preserve">2025-2026</w:t>
            </w:r>
          </w:p>
          <w:p>
            <w:pPr>
              <w:pStyle w:val="TableHeaderStyle"/>
              <w:jc w:val="center"/>
            </w:pPr>
            <w:r>
              <w:rPr>
                <w:b/>
                <w:bCs/>
                <w:color w:val="FFFFFF"/>
              </w:rPr>
              <w:t xml:space="preserve">(provisional)</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TableHeaderStyle"/>
              <w:jc w:val="center"/>
            </w:pPr>
            <w:r>
              <w:rPr>
                <w:b/>
                <w:bCs/>
                <w:color w:val="FFFFFF"/>
              </w:rPr>
              <w:t xml:space="preserve">2026-2027</w:t>
            </w:r>
          </w:p>
          <w:p>
            <w:pPr>
              <w:pStyle w:val="TableHeaderStyle"/>
              <w:jc w:val="center"/>
            </w:pPr>
            <w:r>
              <w:rPr>
                <w:b/>
                <w:bCs/>
                <w:color w:val="FFFFFF"/>
              </w:rPr>
              <w:t xml:space="preserve">(projected)</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TableHeaderStyle"/>
              <w:jc w:val="center"/>
            </w:pPr>
            <w:r>
              <w:rPr>
                <w:b/>
                <w:bCs/>
                <w:color w:val="FFFFFF"/>
              </w:rPr>
              <w:t xml:space="preserve">2027-2028</w:t>
            </w:r>
          </w:p>
          <w:p>
            <w:pPr>
              <w:pStyle w:val="TableHeaderStyle"/>
              <w:jc w:val="center"/>
            </w:pPr>
            <w:r>
              <w:rPr>
                <w:b/>
                <w:bCs/>
                <w:color w:val="FFFFFF"/>
              </w:rPr>
              <w:t xml:space="preserve">(projected)</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TableHeaderStyle"/>
              <w:jc w:val="center"/>
            </w:pPr>
            <w:r>
              <w:rPr>
                <w:b/>
                <w:bCs/>
                <w:color w:val="FFFFFF"/>
              </w:rPr>
              <w:t xml:space="preserve">2028-2029</w:t>
            </w:r>
          </w:p>
          <w:p>
            <w:pPr>
              <w:pStyle w:val="TableHeaderStyle"/>
              <w:jc w:val="center"/>
            </w:pPr>
            <w:r>
              <w:rPr>
                <w:b/>
                <w:bCs/>
                <w:color w:val="FFFFFF"/>
              </w:rPr>
              <w:t xml:space="preserve">(projected)</w:t>
            </w:r>
          </w:p>
        </w:tc>
      </w:tr>
      <w:tr>
        <w:trPr>
          <w:trHeight w:val="300" w:hRule="atLeast"/>
        </w:trPr>
        <w:tc>
          <w:tcPr>
            <w:tcW w:type="pct" w:w="40%"/>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bCs/>
                <w:color w:val="FFFFFF"/>
              </w:rPr>
              <w:t xml:space="preserve">A. CASH ACCRUALS (Source)</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Net Profit After Tax</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38,17,083.92</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45,88,135.21</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52,27,385.32</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60,36,132.26</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68,75,787.81</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Add: Depreciation</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21,60,000.00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18,63,000.00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16,07,850.00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13,88,542.51</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11,99,944.12</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Add: Interest on Long Term Loans</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6,01,778.48</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4,90,417.30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3,68,003.79</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2,33,441.04</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85,523.26</w:t>
            </w:r>
          </w:p>
        </w:tc>
      </w:tr>
      <w:tr>
        <w:trPr>
          <w:trHeight w:val="300" w:hRule="atLeast"/>
        </w:trPr>
        <w:tc>
          <w:tcPr>
            <w:tcW w:type="pct" w:w="40%"/>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bCs/>
                <w:color w:val="FFFFFF"/>
              </w:rPr>
              <w:t xml:space="preserve">Total (A)</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65,78,862.40</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69,41,552.51</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72,03,239.11</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76,58,115.81</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81,61,255.19</w:t>
            </w:r>
          </w:p>
        </w:tc>
      </w:tr>
      <w:tr>
        <w:trPr>
          <w:trHeight w:val="300" w:hRule="atLeast"/>
        </w:trPr>
        <w:tc>
          <w:tcPr>
            <w:tcW w:type="pct" w:w="40%"/>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bCs/>
                <w:color w:val="FFFFFF"/>
              </w:rPr>
              <w:t xml:space="preserve">B. DEBT OBLIGATIONS (Uses)</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Interest on Long Term Loans</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6,01,778.48</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4,90,417.30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3,68,003.79</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2,33,441.04</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85,523.26</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Repayment of Long Term Loans</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11,22,054.29</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12,33,415.48</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13,55,828.98</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14,90,391.73</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16,38,309.51</w:t>
            </w:r>
          </w:p>
        </w:tc>
      </w:tr>
      <w:tr>
        <w:trPr>
          <w:trHeight w:val="300" w:hRule="atLeast"/>
        </w:trPr>
        <w:tc>
          <w:tcPr>
            <w:tcW w:type="pct" w:w="40%"/>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bCs/>
                <w:color w:val="FFFFFF"/>
              </w:rPr>
              <w:t xml:space="preserve">Total (B)</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17,23,832.77</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17,23,832.78</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17,23,832.77</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17,23,832.77</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17,23,832.77</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bCs/>
                <w:color w:val="000000"/>
              </w:rPr>
              <w:t xml:space="preserve">DSCR (A / B)</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3.82</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4.03</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4.18</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4.44</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4.73</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bCs/>
                <w:color w:val="000000"/>
              </w:rPr>
              <w:t xml:space="preserve">Average DSCR</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4.24</w:t>
            </w:r>
          </w:p>
        </w:tc>
      </w:tr>
    </w:tbl>
    <w:p>
      <w:pPr>
        <w:spacing w:after="400"/>
      </w:pPr>
    </w:p>
    <w:p>
      <w:r>
        <w:br w:type="page"/>
      </w:r>
    </w:p>
    <w:p>
      <w:pPr>
        <w:pStyle w:val="sectionHeading"/>
        <w:spacing w:after="200"/>
        <w:jc w:val="center"/>
      </w:pPr>
      <w:r>
        <w:t xml:space="preserve">Breakeven Analysis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40"/>
        <w:gridCol w:w="12"/>
        <w:gridCol w:w="12"/>
        <w:gridCol w:w="12"/>
        <w:gridCol w:w="12"/>
        <w:gridCol w:w="12"/>
      </w:tblGrid>
      <w:tr>
        <w:trPr>
          <w:tblHeader/>
          <w:trHeight w:val="600" w:hRule="atLeast"/>
        </w:trPr>
        <w:tc>
          <w:tcPr>
            <w:tcW w:type="pct" w:w="40%"/>
            <w:tcBorders>
              <w:top w:val="single" w:color="000000" w:sz="1"/>
              <w:left w:val="single" w:color="000000" w:sz="1"/>
              <w:bottom w:val="single" w:color="000000" w:sz="1"/>
              <w:right w:val="single" w:color="000000" w:sz="1"/>
            </w:tcBorders>
            <w:shd w:fill="475569" w:color="475569" w:val="solid"/>
            <w:vAlign w:val="center"/>
          </w:tcPr>
          <w:p>
            <w:pPr>
              <w:pStyle w:val="TableHeaderStyle"/>
              <w:jc w:val="center"/>
            </w:pPr>
            <w:r>
              <w:rPr>
                <w:b/>
                <w:bCs/>
                <w:color w:val="FFFFFF"/>
              </w:rPr>
              <w:t xml:space="preserve">Particulars</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TableHeaderStyle"/>
              <w:jc w:val="center"/>
            </w:pPr>
            <w:r>
              <w:rPr>
                <w:b/>
                <w:bCs/>
                <w:color w:val="FFFFFF"/>
              </w:rPr>
              <w:t xml:space="preserve">2024-2025</w:t>
            </w:r>
          </w:p>
          <w:p>
            <w:pPr>
              <w:pStyle w:val="TableHeaderStyle"/>
              <w:jc w:val="center"/>
            </w:pPr>
            <w:r>
              <w:rPr>
                <w:b/>
                <w:bCs/>
                <w:color w:val="FFFFFF"/>
              </w:rPr>
              <w:t xml:space="preserve">(actual)</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TableHeaderStyle"/>
              <w:jc w:val="center"/>
            </w:pPr>
            <w:r>
              <w:rPr>
                <w:b/>
                <w:bCs/>
                <w:color w:val="FFFFFF"/>
              </w:rPr>
              <w:t xml:space="preserve">2025-2026</w:t>
            </w:r>
          </w:p>
          <w:p>
            <w:pPr>
              <w:pStyle w:val="TableHeaderStyle"/>
              <w:jc w:val="center"/>
            </w:pPr>
            <w:r>
              <w:rPr>
                <w:b/>
                <w:bCs/>
                <w:color w:val="FFFFFF"/>
              </w:rPr>
              <w:t xml:space="preserve">(provisional)</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TableHeaderStyle"/>
              <w:jc w:val="center"/>
            </w:pPr>
            <w:r>
              <w:rPr>
                <w:b/>
                <w:bCs/>
                <w:color w:val="FFFFFF"/>
              </w:rPr>
              <w:t xml:space="preserve">2026-2027</w:t>
            </w:r>
          </w:p>
          <w:p>
            <w:pPr>
              <w:pStyle w:val="TableHeaderStyle"/>
              <w:jc w:val="center"/>
            </w:pPr>
            <w:r>
              <w:rPr>
                <w:b/>
                <w:bCs/>
                <w:color w:val="FFFFFF"/>
              </w:rPr>
              <w:t xml:space="preserve">(projected)</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TableHeaderStyle"/>
              <w:jc w:val="center"/>
            </w:pPr>
            <w:r>
              <w:rPr>
                <w:b/>
                <w:bCs/>
                <w:color w:val="FFFFFF"/>
              </w:rPr>
              <w:t xml:space="preserve">2027-2028</w:t>
            </w:r>
          </w:p>
          <w:p>
            <w:pPr>
              <w:pStyle w:val="TableHeaderStyle"/>
              <w:jc w:val="center"/>
            </w:pPr>
            <w:r>
              <w:rPr>
                <w:b/>
                <w:bCs/>
                <w:color w:val="FFFFFF"/>
              </w:rPr>
              <w:t xml:space="preserve">(projected)</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TableHeaderStyle"/>
              <w:jc w:val="center"/>
            </w:pPr>
            <w:r>
              <w:rPr>
                <w:b/>
                <w:bCs/>
                <w:color w:val="FFFFFF"/>
              </w:rPr>
              <w:t xml:space="preserve">2028-2029</w:t>
            </w:r>
          </w:p>
          <w:p>
            <w:pPr>
              <w:pStyle w:val="TableHeaderStyle"/>
              <w:jc w:val="center"/>
            </w:pPr>
            <w:r>
              <w:rPr>
                <w:b/>
                <w:bCs/>
                <w:color w:val="FFFFFF"/>
              </w:rPr>
              <w:t xml:space="preserve">(projected)</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bCs/>
                <w:color w:val="000000"/>
              </w:rPr>
              <w:t xml:space="preserve">1. Net Sales</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3,60,00,000.00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3,88,80,000.00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4,19,90,400.00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4,53,49,632.00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4,89,77,602.56</w:t>
            </w:r>
          </w:p>
        </w:tc>
      </w:tr>
      <w:tr>
        <w:trPr>
          <w:trHeight w:val="300" w:hRule="atLeast"/>
        </w:trPr>
        <w:tc>
          <w:tcPr>
            <w:tcW w:type="pct" w:w="40%"/>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bCs/>
                <w:color w:val="FFFFFF"/>
              </w:rPr>
              <w:t xml:space="preserve">2. Variable Costs</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(i) Raw Materials</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2,32,52,054.79</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2,16,60,164.38</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2,33,92,977.53</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2,52,64,415.74</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2,72,85,569.00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(ii) Other Consumables &amp; Packing</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(iii) Power and Fuel</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10,80,000.00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11,66,400.00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12,59,712.00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13,60,488.96</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14,69,328.08</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(iv) Direct Labour</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28,80,000.00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31,10,400.00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33,59,232.00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36,27,970.56</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39,18,208.20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(v) Variable Mfg &amp; Selling Expenses</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3,60,000.00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3,88,800.00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4,19,904.00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4,53,496.32</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4,89,776.03</w:t>
            </w:r>
          </w:p>
        </w:tc>
      </w:tr>
      <w:tr>
        <w:trPr>
          <w:trHeight w:val="300" w:hRule="atLeast"/>
        </w:trPr>
        <w:tc>
          <w:tcPr>
            <w:tcW w:type="pct" w:w="40%"/>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bCs/>
                <w:color w:val="FFFFFF"/>
              </w:rPr>
              <w:t xml:space="preserve">   Total Variable Costs</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2,75,72,054.79</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2,63,25,764.38</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2,84,31,825.53</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3,07,06,371.58</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3,31,62,881.30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bCs/>
                <w:color w:val="000000"/>
              </w:rPr>
              <w:t xml:space="preserve">3. Contribution (1 - 2)</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84,27,945.21</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1,25,54,235.62</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1,35,58,574.47</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1,46,43,260.42</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1,58,14,721.26</w:t>
            </w:r>
          </w:p>
        </w:tc>
      </w:tr>
      <w:tr>
        <w:trPr>
          <w:trHeight w:val="300" w:hRule="atLeast"/>
        </w:trPr>
        <w:tc>
          <w:tcPr>
            <w:tcW w:type="pct" w:w="40%"/>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bCs/>
                <w:color w:val="FFFFFF"/>
              </w:rPr>
              <w:t xml:space="preserve">4. Fixed Costs</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(i) Admin &amp; Fixed Selling Exp</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39,60,000.00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42,76,800.00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46,18,944.00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49,88,459.52</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53,87,536.32</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(ii) Depreciation</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21,60,000.00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18,63,000.00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16,07,850.00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13,88,542.51</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11,99,944.12</w:t>
            </w:r>
          </w:p>
        </w:tc>
      </w:tr>
      <w:tr>
        <w:trPr>
          <w:trHeight w:val="300" w:hRule="atLeast"/>
        </w:trPr>
        <w:tc>
          <w:tcPr>
            <w:tcW w:type="pct" w:w="40%"/>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bCs/>
                <w:color w:val="FFFFFF"/>
              </w:rPr>
              <w:t xml:space="preserve">   Total Fixed Costs</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61,20,000.00</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61,39,800.00</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62,26,794.00</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63,77,002.03</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65,87,480.44</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bCs/>
                <w:color w:val="000000"/>
              </w:rPr>
              <w:t xml:space="preserve">5. Breakeven Point (Sales Value)</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2,61,41,603.26</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1,90,14,731.86</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1,92,84,149.03</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1,97,49,337.72</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2,04,01,181.50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bCs/>
                <w:color w:val="000000"/>
              </w:rPr>
              <w:t xml:space="preserve">6. Breakeven % (on Net Sales)</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72.62</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48.91</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45.93</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43.55</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41.65</w:t>
            </w:r>
          </w:p>
        </w:tc>
      </w:tr>
    </w:tbl>
    <w:p>
      <w:pPr>
        <w:spacing w:after="400"/>
      </w:pPr>
    </w:p>
    <w:p>
      <w:r>
        <w:br w:type="page"/>
      </w:r>
    </w:p>
    <w:p>
      <w:pPr>
        <w:pStyle w:val="sectionHeading"/>
        <w:spacing w:after="200"/>
        <w:jc w:val="center"/>
      </w:pPr>
      <w:r>
        <w:t xml:space="preserve">Sensitivity Analysis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40"/>
        <w:gridCol w:w="12"/>
        <w:gridCol w:w="12"/>
        <w:gridCol w:w="12"/>
        <w:gridCol w:w="12"/>
        <w:gridCol w:w="12"/>
      </w:tblGrid>
      <w:tr>
        <w:trPr>
          <w:tblHeader/>
          <w:trHeight w:val="600" w:hRule="atLeast"/>
        </w:trPr>
        <w:tc>
          <w:tcPr>
            <w:tcW w:type="pct" w:w="40%"/>
            <w:tcBorders>
              <w:top w:val="single" w:color="000000" w:sz="1"/>
              <w:left w:val="single" w:color="000000" w:sz="1"/>
              <w:bottom w:val="single" w:color="000000" w:sz="1"/>
              <w:right w:val="single" w:color="000000" w:sz="1"/>
            </w:tcBorders>
            <w:shd w:fill="475569" w:color="475569" w:val="solid"/>
            <w:vAlign w:val="center"/>
          </w:tcPr>
          <w:p>
            <w:pPr>
              <w:pStyle w:val="TableHeaderStyle"/>
              <w:jc w:val="center"/>
            </w:pPr>
            <w:r>
              <w:rPr>
                <w:b/>
                <w:bCs/>
                <w:color w:val="FFFFFF"/>
              </w:rPr>
              <w:t xml:space="preserve">Particulars</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TableHeaderStyle"/>
              <w:jc w:val="center"/>
            </w:pPr>
            <w:r>
              <w:rPr>
                <w:b/>
                <w:bCs/>
                <w:color w:val="FFFFFF"/>
              </w:rPr>
              <w:t xml:space="preserve">2024-2025</w:t>
            </w:r>
          </w:p>
          <w:p>
            <w:pPr>
              <w:pStyle w:val="TableHeaderStyle"/>
              <w:jc w:val="center"/>
            </w:pPr>
            <w:r>
              <w:rPr>
                <w:b/>
                <w:bCs/>
                <w:color w:val="FFFFFF"/>
              </w:rPr>
              <w:t xml:space="preserve">(actual)</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TableHeaderStyle"/>
              <w:jc w:val="center"/>
            </w:pPr>
            <w:r>
              <w:rPr>
                <w:b/>
                <w:bCs/>
                <w:color w:val="FFFFFF"/>
              </w:rPr>
              <w:t xml:space="preserve">2025-2026</w:t>
            </w:r>
          </w:p>
          <w:p>
            <w:pPr>
              <w:pStyle w:val="TableHeaderStyle"/>
              <w:jc w:val="center"/>
            </w:pPr>
            <w:r>
              <w:rPr>
                <w:b/>
                <w:bCs/>
                <w:color w:val="FFFFFF"/>
              </w:rPr>
              <w:t xml:space="preserve">(provisional)</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TableHeaderStyle"/>
              <w:jc w:val="center"/>
            </w:pPr>
            <w:r>
              <w:rPr>
                <w:b/>
                <w:bCs/>
                <w:color w:val="FFFFFF"/>
              </w:rPr>
              <w:t xml:space="preserve">2026-2027</w:t>
            </w:r>
          </w:p>
          <w:p>
            <w:pPr>
              <w:pStyle w:val="TableHeaderStyle"/>
              <w:jc w:val="center"/>
            </w:pPr>
            <w:r>
              <w:rPr>
                <w:b/>
                <w:bCs/>
                <w:color w:val="FFFFFF"/>
              </w:rPr>
              <w:t xml:space="preserve">(projected)</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TableHeaderStyle"/>
              <w:jc w:val="center"/>
            </w:pPr>
            <w:r>
              <w:rPr>
                <w:b/>
                <w:bCs/>
                <w:color w:val="FFFFFF"/>
              </w:rPr>
              <w:t xml:space="preserve">2027-2028</w:t>
            </w:r>
          </w:p>
          <w:p>
            <w:pPr>
              <w:pStyle w:val="TableHeaderStyle"/>
              <w:jc w:val="center"/>
            </w:pPr>
            <w:r>
              <w:rPr>
                <w:b/>
                <w:bCs/>
                <w:color w:val="FFFFFF"/>
              </w:rPr>
              <w:t xml:space="preserve">(projected)</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TableHeaderStyle"/>
              <w:jc w:val="center"/>
            </w:pPr>
            <w:r>
              <w:rPr>
                <w:b/>
                <w:bCs/>
                <w:color w:val="FFFFFF"/>
              </w:rPr>
              <w:t xml:space="preserve">2028-2029</w:t>
            </w:r>
          </w:p>
          <w:p>
            <w:pPr>
              <w:pStyle w:val="TableHeaderStyle"/>
              <w:jc w:val="center"/>
            </w:pPr>
            <w:r>
              <w:rPr>
                <w:b/>
                <w:bCs/>
                <w:color w:val="FFFFFF"/>
              </w:rPr>
              <w:t xml:space="preserve">(projected)</w:t>
            </w:r>
          </w:p>
        </w:tc>
      </w:tr>
      <w:tr>
        <w:trPr>
          <w:trHeight w:val="300" w:hRule="atLeast"/>
        </w:trPr>
        <w:tc>
          <w:tcPr>
            <w:tcW w:type="pct" w:w="40%"/>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bCs/>
                <w:color w:val="FFFFFF"/>
              </w:rPr>
              <w:t xml:space="preserve">1. BASE CASE (PROJECTIONS)</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Net Sales</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3,60,00,000.00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3,88,80,000.00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4,19,90,400.00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4,53,49,632.00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4,89,77,602.56</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Net Profit After Tax</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38,17,083.92</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45,88,135.21</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52,27,385.32</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60,36,132.26</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68,75,787.81</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bCs/>
                <w:color w:val="000000"/>
              </w:rPr>
              <w:t xml:space="preserve">DSCR</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3.82</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4.03</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4.18</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4.44</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4.73</w:t>
            </w:r>
          </w:p>
        </w:tc>
      </w:tr>
      <w:tr>
        <w:trPr>
          <w:trHeight w:val="300" w:hRule="atLeast"/>
        </w:trPr>
        <w:tc>
          <w:tcPr>
            <w:tcW w:type="pct" w:w="40%"/>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bCs/>
                <w:color w:val="FFFFFF"/>
              </w:rPr>
              <w:t xml:space="preserve">2. SALES DECREASE BY 10%</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Revised Net Sales</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3,24,00,000.00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3,49,92,000.00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3,77,91,360.00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4,08,14,668.80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4,40,79,842.30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Revised Net Profit</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29,38,289.40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32,93,831.65</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38,29,537.47</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45,26,456.59</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52,45,338.08</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bCs/>
                <w:color w:val="000000"/>
              </w:rPr>
              <w:t xml:space="preserve">Revised DSCR</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3.31</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3.28</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3.37</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3.57</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3.79</w:t>
            </w:r>
          </w:p>
        </w:tc>
      </w:tr>
      <w:tr>
        <w:trPr>
          <w:trHeight w:val="300" w:hRule="atLeast"/>
        </w:trPr>
        <w:tc>
          <w:tcPr>
            <w:tcW w:type="pct" w:w="40%"/>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bCs/>
                <w:color w:val="FFFFFF"/>
              </w:rPr>
              <w:t xml:space="preserve">3. RAW MATERIAL/CONSUMABLE COST INCREASE BY 10%</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Net Sales (Unchanged)</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3,60,00,000.00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3,88,80,000.00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4,19,90,400.00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4,53,49,632.00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4,89,77,602.56</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Revised Net Profit</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14,91,878.44</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24,22,118.77</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28,88,087.57</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35,09,690.69</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41,47,230.91</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bCs/>
                <w:color w:val="000000"/>
              </w:rPr>
              <w:t xml:space="preserve">Revised DSCR</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2.47</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2.77</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2.82</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2.98</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3.15</w:t>
            </w:r>
          </w:p>
        </w:tc>
      </w:tr>
      <w:tr>
        <w:trPr>
          <w:trHeight w:val="300" w:hRule="atLeast"/>
        </w:trPr>
        <w:tc>
          <w:tcPr>
            <w:tcW w:type="pct" w:w="40%"/>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bCs/>
                <w:color w:val="FFFFFF"/>
              </w:rPr>
              <w:t xml:space="preserve">4. INTEREST RATE INCREASE BY 2%</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Net Sales (Unchanged)</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3,60,00,000.00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3,88,80,000.00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4,19,90,400.00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4,53,49,632.00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4,89,77,602.56</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Revised Net Profit</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37,12,434.64</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45,02,851.64</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51,28,957.26</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59,61,104.66</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68,26,483.12</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bCs/>
                <w:color w:val="000000"/>
              </w:rPr>
              <w:t xml:space="preserve">Revised DSCR</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3.60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3.84</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4.01</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4.32</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4.67</w:t>
            </w:r>
          </w:p>
        </w:tc>
      </w:tr>
    </w:tbl>
    <w:p>
      <w:pPr>
        <w:spacing w:after="400"/>
      </w:pPr>
    </w:p>
    <w:p>
      <w:r>
        <w:br w:type="page"/>
      </w:r>
    </w:p>
    <w:p>
      <w:pPr>
        <w:pStyle w:val="sectionHeading"/>
        <w:spacing w:after="200"/>
        <w:jc w:val="center"/>
      </w:pPr>
      <w:r>
        <w:t xml:space="preserve">EMI Repayment Schedule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gridCol w:w="100"/>
        <w:gridCol w:w="100"/>
      </w:tblGrid>
      <w:tr>
        <w:trPr>
          <w:tblHeader/>
          <w:trHeight w:val="400" w:hRule="atLeast"/>
        </w:trPr>
        <w:tc>
          <w:tcPr>
            <w:tcBorders>
              <w:top w:val="single" w:color="000000" w:sz="1"/>
              <w:left w:val="single" w:color="000000" w:sz="1"/>
              <w:bottom w:val="single" w:color="000000" w:sz="1"/>
              <w:right w:val="single" w:color="000000" w:sz="1"/>
            </w:tcBorders>
            <w:shd w:fill="475569" w:color="475569" w:val="solid"/>
            <w:vAlign w:val="center"/>
          </w:tcPr>
          <w:p>
            <w:pPr>
              <w:pStyle w:val="TableHeaderStyle"/>
              <w:jc w:val="center"/>
            </w:pPr>
            <w:r>
              <w:rPr>
                <w:b/>
                <w:bCs/>
                <w:color w:val="FFFFFF"/>
              </w:rPr>
              <w:t xml:space="preserve">Month</w:t>
            </w:r>
          </w:p>
        </w:tc>
        <w:tc>
          <w:tcPr>
            <w:tcBorders>
              <w:top w:val="single" w:color="000000" w:sz="1"/>
              <w:left w:val="single" w:color="000000" w:sz="1"/>
              <w:bottom w:val="single" w:color="000000" w:sz="1"/>
              <w:right w:val="single" w:color="000000" w:sz="1"/>
            </w:tcBorders>
            <w:shd w:fill="475569" w:color="475569" w:val="solid"/>
            <w:vAlign w:val="center"/>
          </w:tcPr>
          <w:p>
            <w:pPr>
              <w:pStyle w:val="TableHeaderStyle"/>
              <w:jc w:val="center"/>
            </w:pPr>
            <w:r>
              <w:rPr>
                <w:b/>
                <w:bCs/>
                <w:color w:val="FFFFFF"/>
              </w:rPr>
              <w:t xml:space="preserve">Payment Date</w:t>
            </w:r>
          </w:p>
        </w:tc>
        <w:tc>
          <w:tcPr>
            <w:tcBorders>
              <w:top w:val="single" w:color="000000" w:sz="1"/>
              <w:left w:val="single" w:color="000000" w:sz="1"/>
              <w:bottom w:val="single" w:color="000000" w:sz="1"/>
              <w:right w:val="single" w:color="000000" w:sz="1"/>
            </w:tcBorders>
            <w:shd w:fill="475569" w:color="475569" w:val="solid"/>
            <w:vAlign w:val="center"/>
          </w:tcPr>
          <w:p>
            <w:pPr>
              <w:pStyle w:val="TableHeaderStyle"/>
              <w:jc w:val="center"/>
            </w:pPr>
            <w:r>
              <w:rPr>
                <w:b/>
                <w:bCs/>
                <w:color w:val="FFFFFF"/>
              </w:rPr>
              <w:t xml:space="preserve">Opening Bal.</w:t>
            </w:r>
          </w:p>
        </w:tc>
        <w:tc>
          <w:tcPr>
            <w:tcBorders>
              <w:top w:val="single" w:color="000000" w:sz="1"/>
              <w:left w:val="single" w:color="000000" w:sz="1"/>
              <w:bottom w:val="single" w:color="000000" w:sz="1"/>
              <w:right w:val="single" w:color="000000" w:sz="1"/>
            </w:tcBorders>
            <w:shd w:fill="475569" w:color="475569" w:val="solid"/>
            <w:vAlign w:val="center"/>
          </w:tcPr>
          <w:p>
            <w:pPr>
              <w:pStyle w:val="TableHeaderStyle"/>
              <w:jc w:val="center"/>
            </w:pPr>
            <w:r>
              <w:rPr>
                <w:b/>
                <w:bCs/>
                <w:color w:val="FFFFFF"/>
              </w:rPr>
              <w:t xml:space="preserve">EMI</w:t>
            </w:r>
          </w:p>
        </w:tc>
        <w:tc>
          <w:tcPr>
            <w:tcBorders>
              <w:top w:val="single" w:color="000000" w:sz="1"/>
              <w:left w:val="single" w:color="000000" w:sz="1"/>
              <w:bottom w:val="single" w:color="000000" w:sz="1"/>
              <w:right w:val="single" w:color="000000" w:sz="1"/>
            </w:tcBorders>
            <w:shd w:fill="475569" w:color="475569" w:val="solid"/>
            <w:vAlign w:val="center"/>
          </w:tcPr>
          <w:p>
            <w:pPr>
              <w:pStyle w:val="TableHeaderStyle"/>
              <w:jc w:val="center"/>
            </w:pPr>
            <w:r>
              <w:rPr>
                <w:b/>
                <w:bCs/>
                <w:color w:val="FFFFFF"/>
              </w:rPr>
              <w:t xml:space="preserve">Principal</w:t>
            </w:r>
          </w:p>
        </w:tc>
        <w:tc>
          <w:tcPr>
            <w:tcBorders>
              <w:top w:val="single" w:color="000000" w:sz="1"/>
              <w:left w:val="single" w:color="000000" w:sz="1"/>
              <w:bottom w:val="single" w:color="000000" w:sz="1"/>
              <w:right w:val="single" w:color="000000" w:sz="1"/>
            </w:tcBorders>
            <w:shd w:fill="475569" w:color="475569" w:val="solid"/>
            <w:vAlign w:val="center"/>
          </w:tcPr>
          <w:p>
            <w:pPr>
              <w:pStyle w:val="TableHeaderStyle"/>
              <w:jc w:val="center"/>
            </w:pPr>
            <w:r>
              <w:rPr>
                <w:b/>
                <w:bCs/>
                <w:color w:val="FFFFFF"/>
              </w:rPr>
              <w:t xml:space="preserve">Interest</w:t>
            </w:r>
          </w:p>
        </w:tc>
        <w:tc>
          <w:tcPr>
            <w:tcBorders>
              <w:top w:val="single" w:color="000000" w:sz="1"/>
              <w:left w:val="single" w:color="000000" w:sz="1"/>
              <w:bottom w:val="single" w:color="000000" w:sz="1"/>
              <w:right w:val="single" w:color="000000" w:sz="1"/>
            </w:tcBorders>
            <w:shd w:fill="475569" w:color="475569" w:val="solid"/>
            <w:vAlign w:val="center"/>
          </w:tcPr>
          <w:p>
            <w:pPr>
              <w:pStyle w:val="TableHeaderStyle"/>
              <w:jc w:val="center"/>
            </w:pPr>
            <w:r>
              <w:rPr>
                <w:b/>
                <w:bCs/>
                <w:color w:val="FFFFFF"/>
              </w:rPr>
              <w:t xml:space="preserve">Closing Bal.</w:t>
            </w:r>
          </w:p>
        </w:tc>
      </w:tr>
      <w:tr>
        <w:trPr>
          <w:trHeight w:val="300" w:hRule="atLeast"/>
        </w:trPr>
        <w:tc>
          <w:tcPr>
            <w:tcBorders>
              <w:top w:val="single" w:color="000000" w:sz="1"/>
              <w:left w:val="single" w:color="000000" w:sz="1"/>
              <w:bottom w:val="single" w:color="000000" w:sz="1"/>
              <w:right w:val="single" w:color="000000" w:sz="1"/>
            </w:tcBorders>
            <w:vAlign w:val="center"/>
          </w:tcPr>
          <w:p>
            <w:pPr>
              <w:pStyle w:val="Default"/>
              <w:jc w:val="center"/>
            </w:pPr>
            <w:r>
              <w:t xml:space="preserve">1</w:t>
            </w:r>
          </w:p>
        </w:tc>
        <w:tc>
          <w:tcPr>
            <w:tcBorders>
              <w:top w:val="single" w:color="000000" w:sz="1"/>
              <w:left w:val="single" w:color="000000" w:sz="1"/>
              <w:bottom w:val="single" w:color="000000" w:sz="1"/>
              <w:right w:val="single" w:color="000000" w:sz="1"/>
            </w:tcBorders>
            <w:vAlign w:val="center"/>
          </w:tcPr>
          <w:p>
            <w:pPr>
              <w:pStyle w:val="Default"/>
              <w:jc w:val="center"/>
            </w:pPr>
            <w:r>
              <w:t xml:space="preserve">01 Apr 2024</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68,40,000.00</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1,43,652.73</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89,502.73</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54,150.00</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67,50,497.27</w:t>
            </w:r>
          </w:p>
        </w:tc>
      </w:tr>
      <w:tr>
        <w:trPr>
          <w:trHeight w:val="300" w:hRule="atLeast"/>
        </w:trPr>
        <w:tc>
          <w:tcPr>
            <w:tcBorders>
              <w:top w:val="single" w:color="000000" w:sz="1"/>
              <w:left w:val="single" w:color="000000" w:sz="1"/>
              <w:bottom w:val="single" w:color="000000" w:sz="1"/>
              <w:right w:val="single" w:color="000000" w:sz="1"/>
            </w:tcBorders>
            <w:vAlign w:val="center"/>
          </w:tcPr>
          <w:p>
            <w:pPr>
              <w:pStyle w:val="Default"/>
              <w:jc w:val="center"/>
            </w:pPr>
            <w:r>
              <w:t xml:space="preserve">2</w:t>
            </w:r>
          </w:p>
        </w:tc>
        <w:tc>
          <w:tcPr>
            <w:tcBorders>
              <w:top w:val="single" w:color="000000" w:sz="1"/>
              <w:left w:val="single" w:color="000000" w:sz="1"/>
              <w:bottom w:val="single" w:color="000000" w:sz="1"/>
              <w:right w:val="single" w:color="000000" w:sz="1"/>
            </w:tcBorders>
            <w:vAlign w:val="center"/>
          </w:tcPr>
          <w:p>
            <w:pPr>
              <w:pStyle w:val="Default"/>
              <w:jc w:val="center"/>
            </w:pPr>
            <w:r>
              <w:t xml:space="preserve">01 May 2024</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67,50,497.27</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1,43,652.73</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90,211.29</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53,441.44</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66,60,285.97</w:t>
            </w:r>
          </w:p>
        </w:tc>
      </w:tr>
      <w:tr>
        <w:trPr>
          <w:trHeight w:val="300" w:hRule="atLeast"/>
        </w:trPr>
        <w:tc>
          <w:tcPr>
            <w:tcBorders>
              <w:top w:val="single" w:color="000000" w:sz="1"/>
              <w:left w:val="single" w:color="000000" w:sz="1"/>
              <w:bottom w:val="single" w:color="000000" w:sz="1"/>
              <w:right w:val="single" w:color="000000" w:sz="1"/>
            </w:tcBorders>
            <w:vAlign w:val="center"/>
          </w:tcPr>
          <w:p>
            <w:pPr>
              <w:pStyle w:val="Default"/>
              <w:jc w:val="center"/>
            </w:pPr>
            <w:r>
              <w:t xml:space="preserve">3</w:t>
            </w:r>
          </w:p>
        </w:tc>
        <w:tc>
          <w:tcPr>
            <w:tcBorders>
              <w:top w:val="single" w:color="000000" w:sz="1"/>
              <w:left w:val="single" w:color="000000" w:sz="1"/>
              <w:bottom w:val="single" w:color="000000" w:sz="1"/>
              <w:right w:val="single" w:color="000000" w:sz="1"/>
            </w:tcBorders>
            <w:vAlign w:val="center"/>
          </w:tcPr>
          <w:p>
            <w:pPr>
              <w:pStyle w:val="Default"/>
              <w:jc w:val="center"/>
            </w:pPr>
            <w:r>
              <w:t xml:space="preserve">01 Jun 2024</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66,60,285.97</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1,43,652.73</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90,925.47</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52,727.26</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65,69,360.51</w:t>
            </w:r>
          </w:p>
        </w:tc>
      </w:tr>
      <w:tr>
        <w:trPr>
          <w:trHeight w:val="300" w:hRule="atLeast"/>
        </w:trPr>
        <w:tc>
          <w:tcPr>
            <w:tcBorders>
              <w:top w:val="single" w:color="000000" w:sz="1"/>
              <w:left w:val="single" w:color="000000" w:sz="1"/>
              <w:bottom w:val="single" w:color="000000" w:sz="1"/>
              <w:right w:val="single" w:color="000000" w:sz="1"/>
            </w:tcBorders>
            <w:vAlign w:val="center"/>
          </w:tcPr>
          <w:p>
            <w:pPr>
              <w:pStyle w:val="Default"/>
              <w:jc w:val="center"/>
            </w:pPr>
            <w:r>
              <w:t xml:space="preserve">4</w:t>
            </w:r>
          </w:p>
        </w:tc>
        <w:tc>
          <w:tcPr>
            <w:tcBorders>
              <w:top w:val="single" w:color="000000" w:sz="1"/>
              <w:left w:val="single" w:color="000000" w:sz="1"/>
              <w:bottom w:val="single" w:color="000000" w:sz="1"/>
              <w:right w:val="single" w:color="000000" w:sz="1"/>
            </w:tcBorders>
            <w:vAlign w:val="center"/>
          </w:tcPr>
          <w:p>
            <w:pPr>
              <w:pStyle w:val="Default"/>
              <w:jc w:val="center"/>
            </w:pPr>
            <w:r>
              <w:t xml:space="preserve">01 Jul 2024</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65,69,360.51</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1,43,652.73</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91,645.29</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52,007.44</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64,77,715.21</w:t>
            </w:r>
          </w:p>
        </w:tc>
      </w:tr>
      <w:tr>
        <w:trPr>
          <w:trHeight w:val="300" w:hRule="atLeast"/>
        </w:trPr>
        <w:tc>
          <w:tcPr>
            <w:tcBorders>
              <w:top w:val="single" w:color="000000" w:sz="1"/>
              <w:left w:val="single" w:color="000000" w:sz="1"/>
              <w:bottom w:val="single" w:color="000000" w:sz="1"/>
              <w:right w:val="single" w:color="000000" w:sz="1"/>
            </w:tcBorders>
            <w:vAlign w:val="center"/>
          </w:tcPr>
          <w:p>
            <w:pPr>
              <w:pStyle w:val="Default"/>
              <w:jc w:val="center"/>
            </w:pPr>
            <w:r>
              <w:t xml:space="preserve">5</w:t>
            </w:r>
          </w:p>
        </w:tc>
        <w:tc>
          <w:tcPr>
            <w:tcBorders>
              <w:top w:val="single" w:color="000000" w:sz="1"/>
              <w:left w:val="single" w:color="000000" w:sz="1"/>
              <w:bottom w:val="single" w:color="000000" w:sz="1"/>
              <w:right w:val="single" w:color="000000" w:sz="1"/>
            </w:tcBorders>
            <w:vAlign w:val="center"/>
          </w:tcPr>
          <w:p>
            <w:pPr>
              <w:pStyle w:val="Default"/>
              <w:jc w:val="center"/>
            </w:pPr>
            <w:r>
              <w:t xml:space="preserve">01 Aug 2024</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64,77,715.21</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1,43,652.73</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92,370.82</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51,281.91</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63,85,344.39</w:t>
            </w:r>
          </w:p>
        </w:tc>
      </w:tr>
      <w:tr>
        <w:trPr>
          <w:trHeight w:val="300" w:hRule="atLeast"/>
        </w:trPr>
        <w:tc>
          <w:tcPr>
            <w:tcBorders>
              <w:top w:val="single" w:color="000000" w:sz="1"/>
              <w:left w:val="single" w:color="000000" w:sz="1"/>
              <w:bottom w:val="single" w:color="000000" w:sz="1"/>
              <w:right w:val="single" w:color="000000" w:sz="1"/>
            </w:tcBorders>
            <w:vAlign w:val="center"/>
          </w:tcPr>
          <w:p>
            <w:pPr>
              <w:pStyle w:val="Default"/>
              <w:jc w:val="center"/>
            </w:pPr>
            <w:r>
              <w:t xml:space="preserve">6</w:t>
            </w:r>
          </w:p>
        </w:tc>
        <w:tc>
          <w:tcPr>
            <w:tcBorders>
              <w:top w:val="single" w:color="000000" w:sz="1"/>
              <w:left w:val="single" w:color="000000" w:sz="1"/>
              <w:bottom w:val="single" w:color="000000" w:sz="1"/>
              <w:right w:val="single" w:color="000000" w:sz="1"/>
            </w:tcBorders>
            <w:vAlign w:val="center"/>
          </w:tcPr>
          <w:p>
            <w:pPr>
              <w:pStyle w:val="Default"/>
              <w:jc w:val="center"/>
            </w:pPr>
            <w:r>
              <w:t xml:space="preserve">01 Sept 2024</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63,85,344.39</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1,43,652.73</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93,102.09</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50,550.64</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62,92,242.31</w:t>
            </w:r>
          </w:p>
        </w:tc>
      </w:tr>
      <w:tr>
        <w:trPr>
          <w:trHeight w:val="300" w:hRule="atLeast"/>
        </w:trPr>
        <w:tc>
          <w:tcPr>
            <w:tcBorders>
              <w:top w:val="single" w:color="000000" w:sz="1"/>
              <w:left w:val="single" w:color="000000" w:sz="1"/>
              <w:bottom w:val="single" w:color="000000" w:sz="1"/>
              <w:right w:val="single" w:color="000000" w:sz="1"/>
            </w:tcBorders>
            <w:vAlign w:val="center"/>
          </w:tcPr>
          <w:p>
            <w:pPr>
              <w:pStyle w:val="Default"/>
              <w:jc w:val="center"/>
            </w:pPr>
            <w:r>
              <w:t xml:space="preserve">7</w:t>
            </w:r>
          </w:p>
        </w:tc>
        <w:tc>
          <w:tcPr>
            <w:tcBorders>
              <w:top w:val="single" w:color="000000" w:sz="1"/>
              <w:left w:val="single" w:color="000000" w:sz="1"/>
              <w:bottom w:val="single" w:color="000000" w:sz="1"/>
              <w:right w:val="single" w:color="000000" w:sz="1"/>
            </w:tcBorders>
            <w:vAlign w:val="center"/>
          </w:tcPr>
          <w:p>
            <w:pPr>
              <w:pStyle w:val="Default"/>
              <w:jc w:val="center"/>
            </w:pPr>
            <w:r>
              <w:t xml:space="preserve">01 Oct 2024</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62,92,242.31</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1,43,652.73</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93,839.15</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49,813.58</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61,98,403.16</w:t>
            </w:r>
          </w:p>
        </w:tc>
      </w:tr>
      <w:tr>
        <w:trPr>
          <w:trHeight w:val="300" w:hRule="atLeast"/>
        </w:trPr>
        <w:tc>
          <w:tcPr>
            <w:tcBorders>
              <w:top w:val="single" w:color="000000" w:sz="1"/>
              <w:left w:val="single" w:color="000000" w:sz="1"/>
              <w:bottom w:val="single" w:color="000000" w:sz="1"/>
              <w:right w:val="single" w:color="000000" w:sz="1"/>
            </w:tcBorders>
            <w:vAlign w:val="center"/>
          </w:tcPr>
          <w:p>
            <w:pPr>
              <w:pStyle w:val="Default"/>
              <w:jc w:val="center"/>
            </w:pPr>
            <w:r>
              <w:t xml:space="preserve">8</w:t>
            </w:r>
          </w:p>
        </w:tc>
        <w:tc>
          <w:tcPr>
            <w:tcBorders>
              <w:top w:val="single" w:color="000000" w:sz="1"/>
              <w:left w:val="single" w:color="000000" w:sz="1"/>
              <w:bottom w:val="single" w:color="000000" w:sz="1"/>
              <w:right w:val="single" w:color="000000" w:sz="1"/>
            </w:tcBorders>
            <w:vAlign w:val="center"/>
          </w:tcPr>
          <w:p>
            <w:pPr>
              <w:pStyle w:val="Default"/>
              <w:jc w:val="center"/>
            </w:pPr>
            <w:r>
              <w:t xml:space="preserve">01 Nov 2024</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61,98,403.16</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1,43,652.73</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94,582.04</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49,070.69</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61,03,821.12</w:t>
            </w:r>
          </w:p>
        </w:tc>
      </w:tr>
      <w:tr>
        <w:trPr>
          <w:trHeight w:val="300" w:hRule="atLeast"/>
        </w:trPr>
        <w:tc>
          <w:tcPr>
            <w:tcBorders>
              <w:top w:val="single" w:color="000000" w:sz="1"/>
              <w:left w:val="single" w:color="000000" w:sz="1"/>
              <w:bottom w:val="single" w:color="000000" w:sz="1"/>
              <w:right w:val="single" w:color="000000" w:sz="1"/>
            </w:tcBorders>
            <w:vAlign w:val="center"/>
          </w:tcPr>
          <w:p>
            <w:pPr>
              <w:pStyle w:val="Default"/>
              <w:jc w:val="center"/>
            </w:pPr>
            <w:r>
              <w:t xml:space="preserve">9</w:t>
            </w:r>
          </w:p>
        </w:tc>
        <w:tc>
          <w:tcPr>
            <w:tcBorders>
              <w:top w:val="single" w:color="000000" w:sz="1"/>
              <w:left w:val="single" w:color="000000" w:sz="1"/>
              <w:bottom w:val="single" w:color="000000" w:sz="1"/>
              <w:right w:val="single" w:color="000000" w:sz="1"/>
            </w:tcBorders>
            <w:vAlign w:val="center"/>
          </w:tcPr>
          <w:p>
            <w:pPr>
              <w:pStyle w:val="Default"/>
              <w:jc w:val="center"/>
            </w:pPr>
            <w:r>
              <w:t xml:space="preserve">01 Dec 2024</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61,03,821.12</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1,43,652.73</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95,330.81</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48,321.92</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60,08,490.30</w:t>
            </w:r>
          </w:p>
        </w:tc>
      </w:tr>
      <w:tr>
        <w:trPr>
          <w:trHeight w:val="300" w:hRule="atLeast"/>
        </w:trPr>
        <w:tc>
          <w:tcPr>
            <w:tcBorders>
              <w:top w:val="single" w:color="000000" w:sz="1"/>
              <w:left w:val="single" w:color="000000" w:sz="1"/>
              <w:bottom w:val="single" w:color="000000" w:sz="1"/>
              <w:right w:val="single" w:color="000000" w:sz="1"/>
            </w:tcBorders>
            <w:vAlign w:val="center"/>
          </w:tcPr>
          <w:p>
            <w:pPr>
              <w:pStyle w:val="Default"/>
              <w:jc w:val="center"/>
            </w:pPr>
            <w:r>
              <w:t xml:space="preserve">10</w:t>
            </w:r>
          </w:p>
        </w:tc>
        <w:tc>
          <w:tcPr>
            <w:tcBorders>
              <w:top w:val="single" w:color="000000" w:sz="1"/>
              <w:left w:val="single" w:color="000000" w:sz="1"/>
              <w:bottom w:val="single" w:color="000000" w:sz="1"/>
              <w:right w:val="single" w:color="000000" w:sz="1"/>
            </w:tcBorders>
            <w:vAlign w:val="center"/>
          </w:tcPr>
          <w:p>
            <w:pPr>
              <w:pStyle w:val="Default"/>
              <w:jc w:val="center"/>
            </w:pPr>
            <w:r>
              <w:t xml:space="preserve">01 Jan 2025</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60,08,490.30</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1,43,652.73</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96,085.52</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47,567.21</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59,12,404.79</w:t>
            </w:r>
          </w:p>
        </w:tc>
      </w:tr>
      <w:tr>
        <w:trPr>
          <w:trHeight w:val="300" w:hRule="atLeast"/>
        </w:trPr>
        <w:tc>
          <w:tcPr>
            <w:tcBorders>
              <w:top w:val="single" w:color="000000" w:sz="1"/>
              <w:left w:val="single" w:color="000000" w:sz="1"/>
              <w:bottom w:val="single" w:color="000000" w:sz="1"/>
              <w:right w:val="single" w:color="000000" w:sz="1"/>
            </w:tcBorders>
            <w:vAlign w:val="center"/>
          </w:tcPr>
          <w:p>
            <w:pPr>
              <w:pStyle w:val="Default"/>
              <w:jc w:val="center"/>
            </w:pPr>
            <w:r>
              <w:t xml:space="preserve">11</w:t>
            </w:r>
          </w:p>
        </w:tc>
        <w:tc>
          <w:tcPr>
            <w:tcBorders>
              <w:top w:val="single" w:color="000000" w:sz="1"/>
              <w:left w:val="single" w:color="000000" w:sz="1"/>
              <w:bottom w:val="single" w:color="000000" w:sz="1"/>
              <w:right w:val="single" w:color="000000" w:sz="1"/>
            </w:tcBorders>
            <w:vAlign w:val="center"/>
          </w:tcPr>
          <w:p>
            <w:pPr>
              <w:pStyle w:val="Default"/>
              <w:jc w:val="center"/>
            </w:pPr>
            <w:r>
              <w:t xml:space="preserve">01 Feb 2025</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59,12,404.79</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1,43,652.73</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96,846.19</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46,806.54</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58,15,558.59</w:t>
            </w:r>
          </w:p>
        </w:tc>
      </w:tr>
      <w:tr>
        <w:trPr>
          <w:trHeight w:val="300" w:hRule="atLeast"/>
        </w:trPr>
        <w:tc>
          <w:tcPr>
            <w:tcBorders>
              <w:top w:val="single" w:color="000000" w:sz="1"/>
              <w:left w:val="single" w:color="000000" w:sz="1"/>
              <w:bottom w:val="single" w:color="000000" w:sz="1"/>
              <w:right w:val="single" w:color="000000" w:sz="1"/>
            </w:tcBorders>
            <w:vAlign w:val="center"/>
          </w:tcPr>
          <w:p>
            <w:pPr>
              <w:pStyle w:val="Default"/>
              <w:jc w:val="center"/>
            </w:pPr>
            <w:r>
              <w:t xml:space="preserve">12</w:t>
            </w:r>
          </w:p>
        </w:tc>
        <w:tc>
          <w:tcPr>
            <w:tcBorders>
              <w:top w:val="single" w:color="000000" w:sz="1"/>
              <w:left w:val="single" w:color="000000" w:sz="1"/>
              <w:bottom w:val="single" w:color="000000" w:sz="1"/>
              <w:right w:val="single" w:color="000000" w:sz="1"/>
            </w:tcBorders>
            <w:vAlign w:val="center"/>
          </w:tcPr>
          <w:p>
            <w:pPr>
              <w:pStyle w:val="Default"/>
              <w:jc w:val="center"/>
            </w:pPr>
            <w:r>
              <w:t xml:space="preserve">01 Mar 2025</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58,15,558.59</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1,43,652.73</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97,612.89</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46,039.84</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57,17,945.70</w:t>
            </w:r>
          </w:p>
        </w:tc>
      </w:tr>
      <w:tr>
        <w:trPr>
          <w:trHeight w:val="300" w:hRule="atLeast"/>
        </w:trPr>
        <w:tc>
          <w:tcPr>
            <w:tcBorders>
              <w:top w:val="single" w:color="000000" w:sz="1"/>
              <w:left w:val="single" w:color="000000" w:sz="1"/>
              <w:bottom w:val="single" w:color="000000" w:sz="1"/>
              <w:right w:val="single" w:color="000000" w:sz="1"/>
            </w:tcBorders>
            <w:vAlign w:val="center"/>
          </w:tcPr>
          <w:p>
            <w:pPr>
              <w:pStyle w:val="Default"/>
              <w:jc w:val="center"/>
            </w:pPr>
            <w:r>
              <w:t xml:space="preserve">13</w:t>
            </w:r>
          </w:p>
        </w:tc>
        <w:tc>
          <w:tcPr>
            <w:tcBorders>
              <w:top w:val="single" w:color="000000" w:sz="1"/>
              <w:left w:val="single" w:color="000000" w:sz="1"/>
              <w:bottom w:val="single" w:color="000000" w:sz="1"/>
              <w:right w:val="single" w:color="000000" w:sz="1"/>
            </w:tcBorders>
            <w:vAlign w:val="center"/>
          </w:tcPr>
          <w:p>
            <w:pPr>
              <w:pStyle w:val="Default"/>
              <w:jc w:val="center"/>
            </w:pPr>
            <w:r>
              <w:t xml:space="preserve">01 Apr 2025</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57,17,945.70</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1,43,652.73</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98,385.66</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45,267.07</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56,19,560.04</w:t>
            </w:r>
          </w:p>
        </w:tc>
      </w:tr>
      <w:tr>
        <w:trPr>
          <w:trHeight w:val="300" w:hRule="atLeast"/>
        </w:trPr>
        <w:tc>
          <w:tcPr>
            <w:tcBorders>
              <w:top w:val="single" w:color="000000" w:sz="1"/>
              <w:left w:val="single" w:color="000000" w:sz="1"/>
              <w:bottom w:val="single" w:color="000000" w:sz="1"/>
              <w:right w:val="single" w:color="000000" w:sz="1"/>
            </w:tcBorders>
            <w:vAlign w:val="center"/>
          </w:tcPr>
          <w:p>
            <w:pPr>
              <w:pStyle w:val="Default"/>
              <w:jc w:val="center"/>
            </w:pPr>
            <w:r>
              <w:t xml:space="preserve">14</w:t>
            </w:r>
          </w:p>
        </w:tc>
        <w:tc>
          <w:tcPr>
            <w:tcBorders>
              <w:top w:val="single" w:color="000000" w:sz="1"/>
              <w:left w:val="single" w:color="000000" w:sz="1"/>
              <w:bottom w:val="single" w:color="000000" w:sz="1"/>
              <w:right w:val="single" w:color="000000" w:sz="1"/>
            </w:tcBorders>
            <w:vAlign w:val="center"/>
          </w:tcPr>
          <w:p>
            <w:pPr>
              <w:pStyle w:val="Default"/>
              <w:jc w:val="center"/>
            </w:pPr>
            <w:r>
              <w:t xml:space="preserve">01 May 2025</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56,19,560.04</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1,43,652.73</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99,164.55</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44,488.18</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55,20,395.49</w:t>
            </w:r>
          </w:p>
        </w:tc>
      </w:tr>
      <w:tr>
        <w:trPr>
          <w:trHeight w:val="300" w:hRule="atLeast"/>
        </w:trPr>
        <w:tc>
          <w:tcPr>
            <w:tcBorders>
              <w:top w:val="single" w:color="000000" w:sz="1"/>
              <w:left w:val="single" w:color="000000" w:sz="1"/>
              <w:bottom w:val="single" w:color="000000" w:sz="1"/>
              <w:right w:val="single" w:color="000000" w:sz="1"/>
            </w:tcBorders>
            <w:vAlign w:val="center"/>
          </w:tcPr>
          <w:p>
            <w:pPr>
              <w:pStyle w:val="Default"/>
              <w:jc w:val="center"/>
            </w:pPr>
            <w:r>
              <w:t xml:space="preserve">15</w:t>
            </w:r>
          </w:p>
        </w:tc>
        <w:tc>
          <w:tcPr>
            <w:tcBorders>
              <w:top w:val="single" w:color="000000" w:sz="1"/>
              <w:left w:val="single" w:color="000000" w:sz="1"/>
              <w:bottom w:val="single" w:color="000000" w:sz="1"/>
              <w:right w:val="single" w:color="000000" w:sz="1"/>
            </w:tcBorders>
            <w:vAlign w:val="center"/>
          </w:tcPr>
          <w:p>
            <w:pPr>
              <w:pStyle w:val="Default"/>
              <w:jc w:val="center"/>
            </w:pPr>
            <w:r>
              <w:t xml:space="preserve">01 Jun 2025</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55,20,395.49</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1,43,652.73</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99,949.60</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43,703.13</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54,20,445.89</w:t>
            </w:r>
          </w:p>
        </w:tc>
      </w:tr>
      <w:tr>
        <w:trPr>
          <w:trHeight w:val="300" w:hRule="atLeast"/>
        </w:trPr>
        <w:tc>
          <w:tcPr>
            <w:tcBorders>
              <w:top w:val="single" w:color="000000" w:sz="1"/>
              <w:left w:val="single" w:color="000000" w:sz="1"/>
              <w:bottom w:val="single" w:color="000000" w:sz="1"/>
              <w:right w:val="single" w:color="000000" w:sz="1"/>
            </w:tcBorders>
            <w:vAlign w:val="center"/>
          </w:tcPr>
          <w:p>
            <w:pPr>
              <w:pStyle w:val="Default"/>
              <w:jc w:val="center"/>
            </w:pPr>
            <w:r>
              <w:t xml:space="preserve">16</w:t>
            </w:r>
          </w:p>
        </w:tc>
        <w:tc>
          <w:tcPr>
            <w:tcBorders>
              <w:top w:val="single" w:color="000000" w:sz="1"/>
              <w:left w:val="single" w:color="000000" w:sz="1"/>
              <w:bottom w:val="single" w:color="000000" w:sz="1"/>
              <w:right w:val="single" w:color="000000" w:sz="1"/>
            </w:tcBorders>
            <w:vAlign w:val="center"/>
          </w:tcPr>
          <w:p>
            <w:pPr>
              <w:pStyle w:val="Default"/>
              <w:jc w:val="center"/>
            </w:pPr>
            <w:r>
              <w:t xml:space="preserve">01 Jul 2025</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54,20,445.89</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1,43,652.73</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1,00,740.87</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42,911.86</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53,19,705.03</w:t>
            </w:r>
          </w:p>
        </w:tc>
      </w:tr>
      <w:tr>
        <w:trPr>
          <w:trHeight w:val="300" w:hRule="atLeast"/>
        </w:trPr>
        <w:tc>
          <w:tcPr>
            <w:tcBorders>
              <w:top w:val="single" w:color="000000" w:sz="1"/>
              <w:left w:val="single" w:color="000000" w:sz="1"/>
              <w:bottom w:val="single" w:color="000000" w:sz="1"/>
              <w:right w:val="single" w:color="000000" w:sz="1"/>
            </w:tcBorders>
            <w:vAlign w:val="center"/>
          </w:tcPr>
          <w:p>
            <w:pPr>
              <w:pStyle w:val="Default"/>
              <w:jc w:val="center"/>
            </w:pPr>
            <w:r>
              <w:t xml:space="preserve">17</w:t>
            </w:r>
          </w:p>
        </w:tc>
        <w:tc>
          <w:tcPr>
            <w:tcBorders>
              <w:top w:val="single" w:color="000000" w:sz="1"/>
              <w:left w:val="single" w:color="000000" w:sz="1"/>
              <w:bottom w:val="single" w:color="000000" w:sz="1"/>
              <w:right w:val="single" w:color="000000" w:sz="1"/>
            </w:tcBorders>
            <w:vAlign w:val="center"/>
          </w:tcPr>
          <w:p>
            <w:pPr>
              <w:pStyle w:val="Default"/>
              <w:jc w:val="center"/>
            </w:pPr>
            <w:r>
              <w:t xml:space="preserve">01 Aug 2025</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53,19,705.03</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1,43,652.73</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1,01,538.40</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42,114.33</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52,18,166.63</w:t>
            </w:r>
          </w:p>
        </w:tc>
      </w:tr>
      <w:tr>
        <w:trPr>
          <w:trHeight w:val="300" w:hRule="atLeast"/>
        </w:trPr>
        <w:tc>
          <w:tcPr>
            <w:tcBorders>
              <w:top w:val="single" w:color="000000" w:sz="1"/>
              <w:left w:val="single" w:color="000000" w:sz="1"/>
              <w:bottom w:val="single" w:color="000000" w:sz="1"/>
              <w:right w:val="single" w:color="000000" w:sz="1"/>
            </w:tcBorders>
            <w:vAlign w:val="center"/>
          </w:tcPr>
          <w:p>
            <w:pPr>
              <w:pStyle w:val="Default"/>
              <w:jc w:val="center"/>
            </w:pPr>
            <w:r>
              <w:t xml:space="preserve">18</w:t>
            </w:r>
          </w:p>
        </w:tc>
        <w:tc>
          <w:tcPr>
            <w:tcBorders>
              <w:top w:val="single" w:color="000000" w:sz="1"/>
              <w:left w:val="single" w:color="000000" w:sz="1"/>
              <w:bottom w:val="single" w:color="000000" w:sz="1"/>
              <w:right w:val="single" w:color="000000" w:sz="1"/>
            </w:tcBorders>
            <w:vAlign w:val="center"/>
          </w:tcPr>
          <w:p>
            <w:pPr>
              <w:pStyle w:val="Default"/>
              <w:jc w:val="center"/>
            </w:pPr>
            <w:r>
              <w:t xml:space="preserve">01 Sept 2025</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52,18,166.63</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1,43,652.73</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1,02,342.25</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41,310.49</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51,15,824.38</w:t>
            </w:r>
          </w:p>
        </w:tc>
      </w:tr>
      <w:tr>
        <w:trPr>
          <w:trHeight w:val="300" w:hRule="atLeast"/>
        </w:trPr>
        <w:tc>
          <w:tcPr>
            <w:tcBorders>
              <w:top w:val="single" w:color="000000" w:sz="1"/>
              <w:left w:val="single" w:color="000000" w:sz="1"/>
              <w:bottom w:val="single" w:color="000000" w:sz="1"/>
              <w:right w:val="single" w:color="000000" w:sz="1"/>
            </w:tcBorders>
            <w:vAlign w:val="center"/>
          </w:tcPr>
          <w:p>
            <w:pPr>
              <w:pStyle w:val="Default"/>
              <w:jc w:val="center"/>
            </w:pPr>
            <w:r>
              <w:t xml:space="preserve">19</w:t>
            </w:r>
          </w:p>
        </w:tc>
        <w:tc>
          <w:tcPr>
            <w:tcBorders>
              <w:top w:val="single" w:color="000000" w:sz="1"/>
              <w:left w:val="single" w:color="000000" w:sz="1"/>
              <w:bottom w:val="single" w:color="000000" w:sz="1"/>
              <w:right w:val="single" w:color="000000" w:sz="1"/>
            </w:tcBorders>
            <w:vAlign w:val="center"/>
          </w:tcPr>
          <w:p>
            <w:pPr>
              <w:pStyle w:val="Default"/>
              <w:jc w:val="center"/>
            </w:pPr>
            <w:r>
              <w:t xml:space="preserve">01 Oct 2025</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51,15,824.38</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1,43,652.73</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1,03,152.46</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40,500.28</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50,12,671.92</w:t>
            </w:r>
          </w:p>
        </w:tc>
      </w:tr>
      <w:tr>
        <w:trPr>
          <w:trHeight w:val="300" w:hRule="atLeast"/>
        </w:trPr>
        <w:tc>
          <w:tcPr>
            <w:tcBorders>
              <w:top w:val="single" w:color="000000" w:sz="1"/>
              <w:left w:val="single" w:color="000000" w:sz="1"/>
              <w:bottom w:val="single" w:color="000000" w:sz="1"/>
              <w:right w:val="single" w:color="000000" w:sz="1"/>
            </w:tcBorders>
            <w:vAlign w:val="center"/>
          </w:tcPr>
          <w:p>
            <w:pPr>
              <w:pStyle w:val="Default"/>
              <w:jc w:val="center"/>
            </w:pPr>
            <w:r>
              <w:t xml:space="preserve">20</w:t>
            </w:r>
          </w:p>
        </w:tc>
        <w:tc>
          <w:tcPr>
            <w:tcBorders>
              <w:top w:val="single" w:color="000000" w:sz="1"/>
              <w:left w:val="single" w:color="000000" w:sz="1"/>
              <w:bottom w:val="single" w:color="000000" w:sz="1"/>
              <w:right w:val="single" w:color="000000" w:sz="1"/>
            </w:tcBorders>
            <w:vAlign w:val="center"/>
          </w:tcPr>
          <w:p>
            <w:pPr>
              <w:pStyle w:val="Default"/>
              <w:jc w:val="center"/>
            </w:pPr>
            <w:r>
              <w:t xml:space="preserve">01 Nov 2025</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50,12,671.92</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1,43,652.73</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1,03,969.08</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39,683.65</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49,08,702.85</w:t>
            </w:r>
          </w:p>
        </w:tc>
      </w:tr>
      <w:tr>
        <w:trPr>
          <w:trHeight w:val="300" w:hRule="atLeast"/>
        </w:trPr>
        <w:tc>
          <w:tcPr>
            <w:tcBorders>
              <w:top w:val="single" w:color="000000" w:sz="1"/>
              <w:left w:val="single" w:color="000000" w:sz="1"/>
              <w:bottom w:val="single" w:color="000000" w:sz="1"/>
              <w:right w:val="single" w:color="000000" w:sz="1"/>
            </w:tcBorders>
            <w:vAlign w:val="center"/>
          </w:tcPr>
          <w:p>
            <w:pPr>
              <w:pStyle w:val="Default"/>
              <w:jc w:val="center"/>
            </w:pPr>
            <w:r>
              <w:t xml:space="preserve">21</w:t>
            </w:r>
          </w:p>
        </w:tc>
        <w:tc>
          <w:tcPr>
            <w:tcBorders>
              <w:top w:val="single" w:color="000000" w:sz="1"/>
              <w:left w:val="single" w:color="000000" w:sz="1"/>
              <w:bottom w:val="single" w:color="000000" w:sz="1"/>
              <w:right w:val="single" w:color="000000" w:sz="1"/>
            </w:tcBorders>
            <w:vAlign w:val="center"/>
          </w:tcPr>
          <w:p>
            <w:pPr>
              <w:pStyle w:val="Default"/>
              <w:jc w:val="center"/>
            </w:pPr>
            <w:r>
              <w:t xml:space="preserve">01 Dec 2025</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49,08,702.85</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1,43,652.73</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1,04,792.17</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38,860.56</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48,03,910.68</w:t>
            </w:r>
          </w:p>
        </w:tc>
      </w:tr>
      <w:tr>
        <w:trPr>
          <w:trHeight w:val="300" w:hRule="atLeast"/>
        </w:trPr>
        <w:tc>
          <w:tcPr>
            <w:tcBorders>
              <w:top w:val="single" w:color="000000" w:sz="1"/>
              <w:left w:val="single" w:color="000000" w:sz="1"/>
              <w:bottom w:val="single" w:color="000000" w:sz="1"/>
              <w:right w:val="single" w:color="000000" w:sz="1"/>
            </w:tcBorders>
            <w:vAlign w:val="center"/>
          </w:tcPr>
          <w:p>
            <w:pPr>
              <w:pStyle w:val="Default"/>
              <w:jc w:val="center"/>
            </w:pPr>
            <w:r>
              <w:t xml:space="preserve">22</w:t>
            </w:r>
          </w:p>
        </w:tc>
        <w:tc>
          <w:tcPr>
            <w:tcBorders>
              <w:top w:val="single" w:color="000000" w:sz="1"/>
              <w:left w:val="single" w:color="000000" w:sz="1"/>
              <w:bottom w:val="single" w:color="000000" w:sz="1"/>
              <w:right w:val="single" w:color="000000" w:sz="1"/>
            </w:tcBorders>
            <w:vAlign w:val="center"/>
          </w:tcPr>
          <w:p>
            <w:pPr>
              <w:pStyle w:val="Default"/>
              <w:jc w:val="center"/>
            </w:pPr>
            <w:r>
              <w:t xml:space="preserve">01 Jan 2026</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48,03,910.68</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1,43,652.73</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1,05,621.77</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38,030.96</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46,98,288.91</w:t>
            </w:r>
          </w:p>
        </w:tc>
      </w:tr>
      <w:tr>
        <w:trPr>
          <w:trHeight w:val="300" w:hRule="atLeast"/>
        </w:trPr>
        <w:tc>
          <w:tcPr>
            <w:tcBorders>
              <w:top w:val="single" w:color="000000" w:sz="1"/>
              <w:left w:val="single" w:color="000000" w:sz="1"/>
              <w:bottom w:val="single" w:color="000000" w:sz="1"/>
              <w:right w:val="single" w:color="000000" w:sz="1"/>
            </w:tcBorders>
            <w:vAlign w:val="center"/>
          </w:tcPr>
          <w:p>
            <w:pPr>
              <w:pStyle w:val="Default"/>
              <w:jc w:val="center"/>
            </w:pPr>
            <w:r>
              <w:t xml:space="preserve">23</w:t>
            </w:r>
          </w:p>
        </w:tc>
        <w:tc>
          <w:tcPr>
            <w:tcBorders>
              <w:top w:val="single" w:color="000000" w:sz="1"/>
              <w:left w:val="single" w:color="000000" w:sz="1"/>
              <w:bottom w:val="single" w:color="000000" w:sz="1"/>
              <w:right w:val="single" w:color="000000" w:sz="1"/>
            </w:tcBorders>
            <w:vAlign w:val="center"/>
          </w:tcPr>
          <w:p>
            <w:pPr>
              <w:pStyle w:val="Default"/>
              <w:jc w:val="center"/>
            </w:pPr>
            <w:r>
              <w:t xml:space="preserve">01 Feb 2026</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46,98,288.91</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1,43,652.73</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1,06,457.94</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37,194.79</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45,91,830.96</w:t>
            </w:r>
          </w:p>
        </w:tc>
      </w:tr>
      <w:tr>
        <w:trPr>
          <w:trHeight w:val="300" w:hRule="atLeast"/>
        </w:trPr>
        <w:tc>
          <w:tcPr>
            <w:tcBorders>
              <w:top w:val="single" w:color="000000" w:sz="1"/>
              <w:left w:val="single" w:color="000000" w:sz="1"/>
              <w:bottom w:val="single" w:color="000000" w:sz="1"/>
              <w:right w:val="single" w:color="000000" w:sz="1"/>
            </w:tcBorders>
            <w:vAlign w:val="center"/>
          </w:tcPr>
          <w:p>
            <w:pPr>
              <w:pStyle w:val="Default"/>
              <w:jc w:val="center"/>
            </w:pPr>
            <w:r>
              <w:t xml:space="preserve">24</w:t>
            </w:r>
          </w:p>
        </w:tc>
        <w:tc>
          <w:tcPr>
            <w:tcBorders>
              <w:top w:val="single" w:color="000000" w:sz="1"/>
              <w:left w:val="single" w:color="000000" w:sz="1"/>
              <w:bottom w:val="single" w:color="000000" w:sz="1"/>
              <w:right w:val="single" w:color="000000" w:sz="1"/>
            </w:tcBorders>
            <w:vAlign w:val="center"/>
          </w:tcPr>
          <w:p>
            <w:pPr>
              <w:pStyle w:val="Default"/>
              <w:jc w:val="center"/>
            </w:pPr>
            <w:r>
              <w:t xml:space="preserve">01 Mar 2026</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45,91,830.96</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1,43,652.73</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1,07,300.74</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36,352.00</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44,84,530.23</w:t>
            </w:r>
          </w:p>
        </w:tc>
      </w:tr>
      <w:tr>
        <w:trPr>
          <w:trHeight w:val="300" w:hRule="atLeast"/>
        </w:trPr>
        <w:tc>
          <w:tcPr>
            <w:tcBorders>
              <w:top w:val="single" w:color="000000" w:sz="1"/>
              <w:left w:val="single" w:color="000000" w:sz="1"/>
              <w:bottom w:val="single" w:color="000000" w:sz="1"/>
              <w:right w:val="single" w:color="000000" w:sz="1"/>
            </w:tcBorders>
            <w:vAlign w:val="center"/>
          </w:tcPr>
          <w:p>
            <w:pPr>
              <w:pStyle w:val="Default"/>
              <w:jc w:val="center"/>
            </w:pPr>
            <w:r>
              <w:t xml:space="preserve">25</w:t>
            </w:r>
          </w:p>
        </w:tc>
        <w:tc>
          <w:tcPr>
            <w:tcBorders>
              <w:top w:val="single" w:color="000000" w:sz="1"/>
              <w:left w:val="single" w:color="000000" w:sz="1"/>
              <w:bottom w:val="single" w:color="000000" w:sz="1"/>
              <w:right w:val="single" w:color="000000" w:sz="1"/>
            </w:tcBorders>
            <w:vAlign w:val="center"/>
          </w:tcPr>
          <w:p>
            <w:pPr>
              <w:pStyle w:val="Default"/>
              <w:jc w:val="center"/>
            </w:pPr>
            <w:r>
              <w:t xml:space="preserve">01 Apr 2026</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44,84,530.23</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1,43,652.73</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1,08,150.20</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35,502.53</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43,76,380.03</w:t>
            </w:r>
          </w:p>
        </w:tc>
      </w:tr>
      <w:tr>
        <w:trPr>
          <w:trHeight w:val="300" w:hRule="atLeast"/>
        </w:trPr>
        <w:tc>
          <w:tcPr>
            <w:tcBorders>
              <w:top w:val="single" w:color="000000" w:sz="1"/>
              <w:left w:val="single" w:color="000000" w:sz="1"/>
              <w:bottom w:val="single" w:color="000000" w:sz="1"/>
              <w:right w:val="single" w:color="000000" w:sz="1"/>
            </w:tcBorders>
            <w:vAlign w:val="center"/>
          </w:tcPr>
          <w:p>
            <w:pPr>
              <w:pStyle w:val="Default"/>
              <w:jc w:val="center"/>
            </w:pPr>
            <w:r>
              <w:t xml:space="preserve">26</w:t>
            </w:r>
          </w:p>
        </w:tc>
        <w:tc>
          <w:tcPr>
            <w:tcBorders>
              <w:top w:val="single" w:color="000000" w:sz="1"/>
              <w:left w:val="single" w:color="000000" w:sz="1"/>
              <w:bottom w:val="single" w:color="000000" w:sz="1"/>
              <w:right w:val="single" w:color="000000" w:sz="1"/>
            </w:tcBorders>
            <w:vAlign w:val="center"/>
          </w:tcPr>
          <w:p>
            <w:pPr>
              <w:pStyle w:val="Default"/>
              <w:jc w:val="center"/>
            </w:pPr>
            <w:r>
              <w:t xml:space="preserve">01 May 2026</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43,76,380.03</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1,43,652.73</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1,09,006.39</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34,646.34</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42,67,373.64</w:t>
            </w:r>
          </w:p>
        </w:tc>
      </w:tr>
      <w:tr>
        <w:trPr>
          <w:trHeight w:val="300" w:hRule="atLeast"/>
        </w:trPr>
        <w:tc>
          <w:tcPr>
            <w:tcBorders>
              <w:top w:val="single" w:color="000000" w:sz="1"/>
              <w:left w:val="single" w:color="000000" w:sz="1"/>
              <w:bottom w:val="single" w:color="000000" w:sz="1"/>
              <w:right w:val="single" w:color="000000" w:sz="1"/>
            </w:tcBorders>
            <w:vAlign w:val="center"/>
          </w:tcPr>
          <w:p>
            <w:pPr>
              <w:pStyle w:val="Default"/>
              <w:jc w:val="center"/>
            </w:pPr>
            <w:r>
              <w:t xml:space="preserve">27</w:t>
            </w:r>
          </w:p>
        </w:tc>
        <w:tc>
          <w:tcPr>
            <w:tcBorders>
              <w:top w:val="single" w:color="000000" w:sz="1"/>
              <w:left w:val="single" w:color="000000" w:sz="1"/>
              <w:bottom w:val="single" w:color="000000" w:sz="1"/>
              <w:right w:val="single" w:color="000000" w:sz="1"/>
            </w:tcBorders>
            <w:vAlign w:val="center"/>
          </w:tcPr>
          <w:p>
            <w:pPr>
              <w:pStyle w:val="Default"/>
              <w:jc w:val="center"/>
            </w:pPr>
            <w:r>
              <w:t xml:space="preserve">01 Jun 2026</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42,67,373.64</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1,43,652.73</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1,09,869.36</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33,783.37</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41,57,504.28</w:t>
            </w:r>
          </w:p>
        </w:tc>
      </w:tr>
      <w:tr>
        <w:trPr>
          <w:trHeight w:val="300" w:hRule="atLeast"/>
        </w:trPr>
        <w:tc>
          <w:tcPr>
            <w:tcBorders>
              <w:top w:val="single" w:color="000000" w:sz="1"/>
              <w:left w:val="single" w:color="000000" w:sz="1"/>
              <w:bottom w:val="single" w:color="000000" w:sz="1"/>
              <w:right w:val="single" w:color="000000" w:sz="1"/>
            </w:tcBorders>
            <w:vAlign w:val="center"/>
          </w:tcPr>
          <w:p>
            <w:pPr>
              <w:pStyle w:val="Default"/>
              <w:jc w:val="center"/>
            </w:pPr>
            <w:r>
              <w:t xml:space="preserve">28</w:t>
            </w:r>
          </w:p>
        </w:tc>
        <w:tc>
          <w:tcPr>
            <w:tcBorders>
              <w:top w:val="single" w:color="000000" w:sz="1"/>
              <w:left w:val="single" w:color="000000" w:sz="1"/>
              <w:bottom w:val="single" w:color="000000" w:sz="1"/>
              <w:right w:val="single" w:color="000000" w:sz="1"/>
            </w:tcBorders>
            <w:vAlign w:val="center"/>
          </w:tcPr>
          <w:p>
            <w:pPr>
              <w:pStyle w:val="Default"/>
              <w:jc w:val="center"/>
            </w:pPr>
            <w:r>
              <w:t xml:space="preserve">01 Jul 2026</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41,57,504.28</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1,43,652.73</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1,10,739.16</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32,913.58</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40,46,765.12</w:t>
            </w:r>
          </w:p>
        </w:tc>
      </w:tr>
      <w:tr>
        <w:trPr>
          <w:trHeight w:val="300" w:hRule="atLeast"/>
        </w:trPr>
        <w:tc>
          <w:tcPr>
            <w:tcBorders>
              <w:top w:val="single" w:color="000000" w:sz="1"/>
              <w:left w:val="single" w:color="000000" w:sz="1"/>
              <w:bottom w:val="single" w:color="000000" w:sz="1"/>
              <w:right w:val="single" w:color="000000" w:sz="1"/>
            </w:tcBorders>
            <w:vAlign w:val="center"/>
          </w:tcPr>
          <w:p>
            <w:pPr>
              <w:pStyle w:val="Default"/>
              <w:jc w:val="center"/>
            </w:pPr>
            <w:r>
              <w:t xml:space="preserve">29</w:t>
            </w:r>
          </w:p>
        </w:tc>
        <w:tc>
          <w:tcPr>
            <w:tcBorders>
              <w:top w:val="single" w:color="000000" w:sz="1"/>
              <w:left w:val="single" w:color="000000" w:sz="1"/>
              <w:bottom w:val="single" w:color="000000" w:sz="1"/>
              <w:right w:val="single" w:color="000000" w:sz="1"/>
            </w:tcBorders>
            <w:vAlign w:val="center"/>
          </w:tcPr>
          <w:p>
            <w:pPr>
              <w:pStyle w:val="Default"/>
              <w:jc w:val="center"/>
            </w:pPr>
            <w:r>
              <w:t xml:space="preserve">01 Aug 2026</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40,46,765.12</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1,43,652.73</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1,11,615.84</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32,036.89</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39,35,149.28</w:t>
            </w:r>
          </w:p>
        </w:tc>
      </w:tr>
      <w:tr>
        <w:trPr>
          <w:trHeight w:val="300" w:hRule="atLeast"/>
        </w:trPr>
        <w:tc>
          <w:tcPr>
            <w:tcBorders>
              <w:top w:val="single" w:color="000000" w:sz="1"/>
              <w:left w:val="single" w:color="000000" w:sz="1"/>
              <w:bottom w:val="single" w:color="000000" w:sz="1"/>
              <w:right w:val="single" w:color="000000" w:sz="1"/>
            </w:tcBorders>
            <w:vAlign w:val="center"/>
          </w:tcPr>
          <w:p>
            <w:pPr>
              <w:pStyle w:val="Default"/>
              <w:jc w:val="center"/>
            </w:pPr>
            <w:r>
              <w:t xml:space="preserve">30</w:t>
            </w:r>
          </w:p>
        </w:tc>
        <w:tc>
          <w:tcPr>
            <w:tcBorders>
              <w:top w:val="single" w:color="000000" w:sz="1"/>
              <w:left w:val="single" w:color="000000" w:sz="1"/>
              <w:bottom w:val="single" w:color="000000" w:sz="1"/>
              <w:right w:val="single" w:color="000000" w:sz="1"/>
            </w:tcBorders>
            <w:vAlign w:val="center"/>
          </w:tcPr>
          <w:p>
            <w:pPr>
              <w:pStyle w:val="Default"/>
              <w:jc w:val="center"/>
            </w:pPr>
            <w:r>
              <w:t xml:space="preserve">01 Sept 2026</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39,35,149.28</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1,43,652.73</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1,12,499.47</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31,153.27</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38,22,649.82</w:t>
            </w:r>
          </w:p>
        </w:tc>
      </w:tr>
      <w:tr>
        <w:trPr>
          <w:trHeight w:val="300" w:hRule="atLeast"/>
        </w:trPr>
        <w:tc>
          <w:tcPr>
            <w:tcBorders>
              <w:top w:val="single" w:color="000000" w:sz="1"/>
              <w:left w:val="single" w:color="000000" w:sz="1"/>
              <w:bottom w:val="single" w:color="000000" w:sz="1"/>
              <w:right w:val="single" w:color="000000" w:sz="1"/>
            </w:tcBorders>
            <w:vAlign w:val="center"/>
          </w:tcPr>
          <w:p>
            <w:pPr>
              <w:pStyle w:val="Default"/>
              <w:jc w:val="center"/>
            </w:pPr>
            <w:r>
              <w:t xml:space="preserve">31</w:t>
            </w:r>
          </w:p>
        </w:tc>
        <w:tc>
          <w:tcPr>
            <w:tcBorders>
              <w:top w:val="single" w:color="000000" w:sz="1"/>
              <w:left w:val="single" w:color="000000" w:sz="1"/>
              <w:bottom w:val="single" w:color="000000" w:sz="1"/>
              <w:right w:val="single" w:color="000000" w:sz="1"/>
            </w:tcBorders>
            <w:vAlign w:val="center"/>
          </w:tcPr>
          <w:p>
            <w:pPr>
              <w:pStyle w:val="Default"/>
              <w:jc w:val="center"/>
            </w:pPr>
            <w:r>
              <w:t xml:space="preserve">01 Oct 2026</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38,22,649.82</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1,43,652.73</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1,13,390.09</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30,262.64</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37,09,259.73</w:t>
            </w:r>
          </w:p>
        </w:tc>
      </w:tr>
      <w:tr>
        <w:trPr>
          <w:trHeight w:val="300" w:hRule="atLeast"/>
        </w:trPr>
        <w:tc>
          <w:tcPr>
            <w:tcBorders>
              <w:top w:val="single" w:color="000000" w:sz="1"/>
              <w:left w:val="single" w:color="000000" w:sz="1"/>
              <w:bottom w:val="single" w:color="000000" w:sz="1"/>
              <w:right w:val="single" w:color="000000" w:sz="1"/>
            </w:tcBorders>
            <w:vAlign w:val="center"/>
          </w:tcPr>
          <w:p>
            <w:pPr>
              <w:pStyle w:val="Default"/>
              <w:jc w:val="center"/>
            </w:pPr>
            <w:r>
              <w:t xml:space="preserve">32</w:t>
            </w:r>
          </w:p>
        </w:tc>
        <w:tc>
          <w:tcPr>
            <w:tcBorders>
              <w:top w:val="single" w:color="000000" w:sz="1"/>
              <w:left w:val="single" w:color="000000" w:sz="1"/>
              <w:bottom w:val="single" w:color="000000" w:sz="1"/>
              <w:right w:val="single" w:color="000000" w:sz="1"/>
            </w:tcBorders>
            <w:vAlign w:val="center"/>
          </w:tcPr>
          <w:p>
            <w:pPr>
              <w:pStyle w:val="Default"/>
              <w:jc w:val="center"/>
            </w:pPr>
            <w:r>
              <w:t xml:space="preserve">01 Nov 2026</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37,09,259.73</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1,43,652.73</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1,14,287.76</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29,364.97</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35,94,971.97</w:t>
            </w:r>
          </w:p>
        </w:tc>
      </w:tr>
      <w:tr>
        <w:trPr>
          <w:trHeight w:val="300" w:hRule="atLeast"/>
        </w:trPr>
        <w:tc>
          <w:tcPr>
            <w:tcBorders>
              <w:top w:val="single" w:color="000000" w:sz="1"/>
              <w:left w:val="single" w:color="000000" w:sz="1"/>
              <w:bottom w:val="single" w:color="000000" w:sz="1"/>
              <w:right w:val="single" w:color="000000" w:sz="1"/>
            </w:tcBorders>
            <w:vAlign w:val="center"/>
          </w:tcPr>
          <w:p>
            <w:pPr>
              <w:pStyle w:val="Default"/>
              <w:jc w:val="center"/>
            </w:pPr>
            <w:r>
              <w:t xml:space="preserve">33</w:t>
            </w:r>
          </w:p>
        </w:tc>
        <w:tc>
          <w:tcPr>
            <w:tcBorders>
              <w:top w:val="single" w:color="000000" w:sz="1"/>
              <w:left w:val="single" w:color="000000" w:sz="1"/>
              <w:bottom w:val="single" w:color="000000" w:sz="1"/>
              <w:right w:val="single" w:color="000000" w:sz="1"/>
            </w:tcBorders>
            <w:vAlign w:val="center"/>
          </w:tcPr>
          <w:p>
            <w:pPr>
              <w:pStyle w:val="Default"/>
              <w:jc w:val="center"/>
            </w:pPr>
            <w:r>
              <w:t xml:space="preserve">01 Dec 2026</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35,94,971.97</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1,43,652.73</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1,15,192.54</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28,460.19</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34,79,779.44</w:t>
            </w:r>
          </w:p>
        </w:tc>
      </w:tr>
      <w:tr>
        <w:trPr>
          <w:trHeight w:val="300" w:hRule="atLeast"/>
        </w:trPr>
        <w:tc>
          <w:tcPr>
            <w:tcBorders>
              <w:top w:val="single" w:color="000000" w:sz="1"/>
              <w:left w:val="single" w:color="000000" w:sz="1"/>
              <w:bottom w:val="single" w:color="000000" w:sz="1"/>
              <w:right w:val="single" w:color="000000" w:sz="1"/>
            </w:tcBorders>
            <w:vAlign w:val="center"/>
          </w:tcPr>
          <w:p>
            <w:pPr>
              <w:pStyle w:val="Default"/>
              <w:jc w:val="center"/>
            </w:pPr>
            <w:r>
              <w:t xml:space="preserve">34</w:t>
            </w:r>
          </w:p>
        </w:tc>
        <w:tc>
          <w:tcPr>
            <w:tcBorders>
              <w:top w:val="single" w:color="000000" w:sz="1"/>
              <w:left w:val="single" w:color="000000" w:sz="1"/>
              <w:bottom w:val="single" w:color="000000" w:sz="1"/>
              <w:right w:val="single" w:color="000000" w:sz="1"/>
            </w:tcBorders>
            <w:vAlign w:val="center"/>
          </w:tcPr>
          <w:p>
            <w:pPr>
              <w:pStyle w:val="Default"/>
              <w:jc w:val="center"/>
            </w:pPr>
            <w:r>
              <w:t xml:space="preserve">01 Jan 2027</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34,79,779.44</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1,43,652.73</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1,16,104.48</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27,548.25</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33,63,674.96</w:t>
            </w:r>
          </w:p>
        </w:tc>
      </w:tr>
      <w:tr>
        <w:trPr>
          <w:trHeight w:val="300" w:hRule="atLeast"/>
        </w:trPr>
        <w:tc>
          <w:tcPr>
            <w:tcBorders>
              <w:top w:val="single" w:color="000000" w:sz="1"/>
              <w:left w:val="single" w:color="000000" w:sz="1"/>
              <w:bottom w:val="single" w:color="000000" w:sz="1"/>
              <w:right w:val="single" w:color="000000" w:sz="1"/>
            </w:tcBorders>
            <w:vAlign w:val="center"/>
          </w:tcPr>
          <w:p>
            <w:pPr>
              <w:pStyle w:val="Default"/>
              <w:jc w:val="center"/>
            </w:pPr>
            <w:r>
              <w:t xml:space="preserve">35</w:t>
            </w:r>
          </w:p>
        </w:tc>
        <w:tc>
          <w:tcPr>
            <w:tcBorders>
              <w:top w:val="single" w:color="000000" w:sz="1"/>
              <w:left w:val="single" w:color="000000" w:sz="1"/>
              <w:bottom w:val="single" w:color="000000" w:sz="1"/>
              <w:right w:val="single" w:color="000000" w:sz="1"/>
            </w:tcBorders>
            <w:vAlign w:val="center"/>
          </w:tcPr>
          <w:p>
            <w:pPr>
              <w:pStyle w:val="Default"/>
              <w:jc w:val="center"/>
            </w:pPr>
            <w:r>
              <w:t xml:space="preserve">01 Feb 2027</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33,63,674.96</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1,43,652.73</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1,17,023.64</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26,629.09</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32,46,651.32</w:t>
            </w:r>
          </w:p>
        </w:tc>
      </w:tr>
      <w:tr>
        <w:trPr>
          <w:trHeight w:val="300" w:hRule="atLeast"/>
        </w:trPr>
        <w:tc>
          <w:tcPr>
            <w:tcBorders>
              <w:top w:val="single" w:color="000000" w:sz="1"/>
              <w:left w:val="single" w:color="000000" w:sz="1"/>
              <w:bottom w:val="single" w:color="000000" w:sz="1"/>
              <w:right w:val="single" w:color="000000" w:sz="1"/>
            </w:tcBorders>
            <w:vAlign w:val="center"/>
          </w:tcPr>
          <w:p>
            <w:pPr>
              <w:pStyle w:val="Default"/>
              <w:jc w:val="center"/>
            </w:pPr>
            <w:r>
              <w:t xml:space="preserve">36</w:t>
            </w:r>
          </w:p>
        </w:tc>
        <w:tc>
          <w:tcPr>
            <w:tcBorders>
              <w:top w:val="single" w:color="000000" w:sz="1"/>
              <w:left w:val="single" w:color="000000" w:sz="1"/>
              <w:bottom w:val="single" w:color="000000" w:sz="1"/>
              <w:right w:val="single" w:color="000000" w:sz="1"/>
            </w:tcBorders>
            <w:vAlign w:val="center"/>
          </w:tcPr>
          <w:p>
            <w:pPr>
              <w:pStyle w:val="Default"/>
              <w:jc w:val="center"/>
            </w:pPr>
            <w:r>
              <w:t xml:space="preserve">01 Mar 2027</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32,46,651.32</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1,43,652.73</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1,17,950.08</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25,702.66</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31,28,701.24</w:t>
            </w:r>
          </w:p>
        </w:tc>
      </w:tr>
      <w:tr>
        <w:trPr>
          <w:trHeight w:val="300" w:hRule="atLeast"/>
        </w:trPr>
        <w:tc>
          <w:tcPr>
            <w:tcBorders>
              <w:top w:val="single" w:color="000000" w:sz="1"/>
              <w:left w:val="single" w:color="000000" w:sz="1"/>
              <w:bottom w:val="single" w:color="000000" w:sz="1"/>
              <w:right w:val="single" w:color="000000" w:sz="1"/>
            </w:tcBorders>
            <w:vAlign w:val="center"/>
          </w:tcPr>
          <w:p>
            <w:pPr>
              <w:pStyle w:val="Default"/>
              <w:jc w:val="center"/>
            </w:pPr>
            <w:r>
              <w:t xml:space="preserve">37</w:t>
            </w:r>
          </w:p>
        </w:tc>
        <w:tc>
          <w:tcPr>
            <w:tcBorders>
              <w:top w:val="single" w:color="000000" w:sz="1"/>
              <w:left w:val="single" w:color="000000" w:sz="1"/>
              <w:bottom w:val="single" w:color="000000" w:sz="1"/>
              <w:right w:val="single" w:color="000000" w:sz="1"/>
            </w:tcBorders>
            <w:vAlign w:val="center"/>
          </w:tcPr>
          <w:p>
            <w:pPr>
              <w:pStyle w:val="Default"/>
              <w:jc w:val="center"/>
            </w:pPr>
            <w:r>
              <w:t xml:space="preserve">01 Apr 2027</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31,28,701.24</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1,43,652.73</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1,18,883.85</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24,768.88</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30,09,817.40</w:t>
            </w:r>
          </w:p>
        </w:tc>
      </w:tr>
      <w:tr>
        <w:trPr>
          <w:trHeight w:val="300" w:hRule="atLeast"/>
        </w:trPr>
        <w:tc>
          <w:tcPr>
            <w:tcBorders>
              <w:top w:val="single" w:color="000000" w:sz="1"/>
              <w:left w:val="single" w:color="000000" w:sz="1"/>
              <w:bottom w:val="single" w:color="000000" w:sz="1"/>
              <w:right w:val="single" w:color="000000" w:sz="1"/>
            </w:tcBorders>
            <w:vAlign w:val="center"/>
          </w:tcPr>
          <w:p>
            <w:pPr>
              <w:pStyle w:val="Default"/>
              <w:jc w:val="center"/>
            </w:pPr>
            <w:r>
              <w:t xml:space="preserve">38</w:t>
            </w:r>
          </w:p>
        </w:tc>
        <w:tc>
          <w:tcPr>
            <w:tcBorders>
              <w:top w:val="single" w:color="000000" w:sz="1"/>
              <w:left w:val="single" w:color="000000" w:sz="1"/>
              <w:bottom w:val="single" w:color="000000" w:sz="1"/>
              <w:right w:val="single" w:color="000000" w:sz="1"/>
            </w:tcBorders>
            <w:vAlign w:val="center"/>
          </w:tcPr>
          <w:p>
            <w:pPr>
              <w:pStyle w:val="Default"/>
              <w:jc w:val="center"/>
            </w:pPr>
            <w:r>
              <w:t xml:space="preserve">01 May 2027</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30,09,817.40</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1,43,652.73</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1,19,825.01</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23,827.72</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28,89,992.39</w:t>
            </w:r>
          </w:p>
        </w:tc>
      </w:tr>
      <w:tr>
        <w:trPr>
          <w:trHeight w:val="300" w:hRule="atLeast"/>
        </w:trPr>
        <w:tc>
          <w:tcPr>
            <w:tcBorders>
              <w:top w:val="single" w:color="000000" w:sz="1"/>
              <w:left w:val="single" w:color="000000" w:sz="1"/>
              <w:bottom w:val="single" w:color="000000" w:sz="1"/>
              <w:right w:val="single" w:color="000000" w:sz="1"/>
            </w:tcBorders>
            <w:vAlign w:val="center"/>
          </w:tcPr>
          <w:p>
            <w:pPr>
              <w:pStyle w:val="Default"/>
              <w:jc w:val="center"/>
            </w:pPr>
            <w:r>
              <w:t xml:space="preserve">39</w:t>
            </w:r>
          </w:p>
        </w:tc>
        <w:tc>
          <w:tcPr>
            <w:tcBorders>
              <w:top w:val="single" w:color="000000" w:sz="1"/>
              <w:left w:val="single" w:color="000000" w:sz="1"/>
              <w:bottom w:val="single" w:color="000000" w:sz="1"/>
              <w:right w:val="single" w:color="000000" w:sz="1"/>
            </w:tcBorders>
            <w:vAlign w:val="center"/>
          </w:tcPr>
          <w:p>
            <w:pPr>
              <w:pStyle w:val="Default"/>
              <w:jc w:val="center"/>
            </w:pPr>
            <w:r>
              <w:t xml:space="preserve">01 Jun 2027</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28,89,992.39</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1,43,652.73</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1,20,773.62</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22,879.11</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27,69,218.76</w:t>
            </w:r>
          </w:p>
        </w:tc>
      </w:tr>
      <w:tr>
        <w:trPr>
          <w:trHeight w:val="300" w:hRule="atLeast"/>
        </w:trPr>
        <w:tc>
          <w:tcPr>
            <w:tcBorders>
              <w:top w:val="single" w:color="000000" w:sz="1"/>
              <w:left w:val="single" w:color="000000" w:sz="1"/>
              <w:bottom w:val="single" w:color="000000" w:sz="1"/>
              <w:right w:val="single" w:color="000000" w:sz="1"/>
            </w:tcBorders>
            <w:vAlign w:val="center"/>
          </w:tcPr>
          <w:p>
            <w:pPr>
              <w:pStyle w:val="Default"/>
              <w:jc w:val="center"/>
            </w:pPr>
            <w:r>
              <w:t xml:space="preserve">40</w:t>
            </w:r>
          </w:p>
        </w:tc>
        <w:tc>
          <w:tcPr>
            <w:tcBorders>
              <w:top w:val="single" w:color="000000" w:sz="1"/>
              <w:left w:val="single" w:color="000000" w:sz="1"/>
              <w:bottom w:val="single" w:color="000000" w:sz="1"/>
              <w:right w:val="single" w:color="000000" w:sz="1"/>
            </w:tcBorders>
            <w:vAlign w:val="center"/>
          </w:tcPr>
          <w:p>
            <w:pPr>
              <w:pStyle w:val="Default"/>
              <w:jc w:val="center"/>
            </w:pPr>
            <w:r>
              <w:t xml:space="preserve">01 Jul 2027</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27,69,218.76</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1,43,652.73</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1,21,729.75</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21,922.98</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26,47,489.01</w:t>
            </w:r>
          </w:p>
        </w:tc>
      </w:tr>
      <w:tr>
        <w:trPr>
          <w:trHeight w:val="300" w:hRule="atLeast"/>
        </w:trPr>
        <w:tc>
          <w:tcPr>
            <w:tcBorders>
              <w:top w:val="single" w:color="000000" w:sz="1"/>
              <w:left w:val="single" w:color="000000" w:sz="1"/>
              <w:bottom w:val="single" w:color="000000" w:sz="1"/>
              <w:right w:val="single" w:color="000000" w:sz="1"/>
            </w:tcBorders>
            <w:vAlign w:val="center"/>
          </w:tcPr>
          <w:p>
            <w:pPr>
              <w:pStyle w:val="Default"/>
              <w:jc w:val="center"/>
            </w:pPr>
            <w:r>
              <w:t xml:space="preserve">41</w:t>
            </w:r>
          </w:p>
        </w:tc>
        <w:tc>
          <w:tcPr>
            <w:tcBorders>
              <w:top w:val="single" w:color="000000" w:sz="1"/>
              <w:left w:val="single" w:color="000000" w:sz="1"/>
              <w:bottom w:val="single" w:color="000000" w:sz="1"/>
              <w:right w:val="single" w:color="000000" w:sz="1"/>
            </w:tcBorders>
            <w:vAlign w:val="center"/>
          </w:tcPr>
          <w:p>
            <w:pPr>
              <w:pStyle w:val="Default"/>
              <w:jc w:val="center"/>
            </w:pPr>
            <w:r>
              <w:t xml:space="preserve">01 Aug 2027</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26,47,489.01</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1,43,652.73</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1,22,693.44</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20,959.29</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25,24,795.57</w:t>
            </w:r>
          </w:p>
        </w:tc>
      </w:tr>
      <w:tr>
        <w:trPr>
          <w:trHeight w:val="300" w:hRule="atLeast"/>
        </w:trPr>
        <w:tc>
          <w:tcPr>
            <w:tcBorders>
              <w:top w:val="single" w:color="000000" w:sz="1"/>
              <w:left w:val="single" w:color="000000" w:sz="1"/>
              <w:bottom w:val="single" w:color="000000" w:sz="1"/>
              <w:right w:val="single" w:color="000000" w:sz="1"/>
            </w:tcBorders>
            <w:vAlign w:val="center"/>
          </w:tcPr>
          <w:p>
            <w:pPr>
              <w:pStyle w:val="Default"/>
              <w:jc w:val="center"/>
            </w:pPr>
            <w:r>
              <w:t xml:space="preserve">42</w:t>
            </w:r>
          </w:p>
        </w:tc>
        <w:tc>
          <w:tcPr>
            <w:tcBorders>
              <w:top w:val="single" w:color="000000" w:sz="1"/>
              <w:left w:val="single" w:color="000000" w:sz="1"/>
              <w:bottom w:val="single" w:color="000000" w:sz="1"/>
              <w:right w:val="single" w:color="000000" w:sz="1"/>
            </w:tcBorders>
            <w:vAlign w:val="center"/>
          </w:tcPr>
          <w:p>
            <w:pPr>
              <w:pStyle w:val="Default"/>
              <w:jc w:val="center"/>
            </w:pPr>
            <w:r>
              <w:t xml:space="preserve">01 Sept 2027</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25,24,795.57</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1,43,652.73</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1,23,664.77</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19,987.96</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24,01,130.80</w:t>
            </w:r>
          </w:p>
        </w:tc>
      </w:tr>
      <w:tr>
        <w:trPr>
          <w:trHeight w:val="300" w:hRule="atLeast"/>
        </w:trPr>
        <w:tc>
          <w:tcPr>
            <w:tcBorders>
              <w:top w:val="single" w:color="000000" w:sz="1"/>
              <w:left w:val="single" w:color="000000" w:sz="1"/>
              <w:bottom w:val="single" w:color="000000" w:sz="1"/>
              <w:right w:val="single" w:color="000000" w:sz="1"/>
            </w:tcBorders>
            <w:vAlign w:val="center"/>
          </w:tcPr>
          <w:p>
            <w:pPr>
              <w:pStyle w:val="Default"/>
              <w:jc w:val="center"/>
            </w:pPr>
            <w:r>
              <w:t xml:space="preserve">43</w:t>
            </w:r>
          </w:p>
        </w:tc>
        <w:tc>
          <w:tcPr>
            <w:tcBorders>
              <w:top w:val="single" w:color="000000" w:sz="1"/>
              <w:left w:val="single" w:color="000000" w:sz="1"/>
              <w:bottom w:val="single" w:color="000000" w:sz="1"/>
              <w:right w:val="single" w:color="000000" w:sz="1"/>
            </w:tcBorders>
            <w:vAlign w:val="center"/>
          </w:tcPr>
          <w:p>
            <w:pPr>
              <w:pStyle w:val="Default"/>
              <w:jc w:val="center"/>
            </w:pPr>
            <w:r>
              <w:t xml:space="preserve">01 Oct 2027</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24,01,130.80</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1,43,652.73</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1,24,643.78</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19,008.95</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22,76,487.02</w:t>
            </w:r>
          </w:p>
        </w:tc>
      </w:tr>
      <w:tr>
        <w:trPr>
          <w:trHeight w:val="300" w:hRule="atLeast"/>
        </w:trPr>
        <w:tc>
          <w:tcPr>
            <w:tcBorders>
              <w:top w:val="single" w:color="000000" w:sz="1"/>
              <w:left w:val="single" w:color="000000" w:sz="1"/>
              <w:bottom w:val="single" w:color="000000" w:sz="1"/>
              <w:right w:val="single" w:color="000000" w:sz="1"/>
            </w:tcBorders>
            <w:vAlign w:val="center"/>
          </w:tcPr>
          <w:p>
            <w:pPr>
              <w:pStyle w:val="Default"/>
              <w:jc w:val="center"/>
            </w:pPr>
            <w:r>
              <w:t xml:space="preserve">44</w:t>
            </w:r>
          </w:p>
        </w:tc>
        <w:tc>
          <w:tcPr>
            <w:tcBorders>
              <w:top w:val="single" w:color="000000" w:sz="1"/>
              <w:left w:val="single" w:color="000000" w:sz="1"/>
              <w:bottom w:val="single" w:color="000000" w:sz="1"/>
              <w:right w:val="single" w:color="000000" w:sz="1"/>
            </w:tcBorders>
            <w:vAlign w:val="center"/>
          </w:tcPr>
          <w:p>
            <w:pPr>
              <w:pStyle w:val="Default"/>
              <w:jc w:val="center"/>
            </w:pPr>
            <w:r>
              <w:t xml:space="preserve">01 Nov 2027</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22,76,487.02</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1,43,652.73</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1,25,630.54</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18,022.19</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21,50,856.48</w:t>
            </w:r>
          </w:p>
        </w:tc>
      </w:tr>
      <w:tr>
        <w:trPr>
          <w:trHeight w:val="300" w:hRule="atLeast"/>
        </w:trPr>
        <w:tc>
          <w:tcPr>
            <w:tcBorders>
              <w:top w:val="single" w:color="000000" w:sz="1"/>
              <w:left w:val="single" w:color="000000" w:sz="1"/>
              <w:bottom w:val="single" w:color="000000" w:sz="1"/>
              <w:right w:val="single" w:color="000000" w:sz="1"/>
            </w:tcBorders>
            <w:vAlign w:val="center"/>
          </w:tcPr>
          <w:p>
            <w:pPr>
              <w:pStyle w:val="Default"/>
              <w:jc w:val="center"/>
            </w:pPr>
            <w:r>
              <w:t xml:space="preserve">45</w:t>
            </w:r>
          </w:p>
        </w:tc>
        <w:tc>
          <w:tcPr>
            <w:tcBorders>
              <w:top w:val="single" w:color="000000" w:sz="1"/>
              <w:left w:val="single" w:color="000000" w:sz="1"/>
              <w:bottom w:val="single" w:color="000000" w:sz="1"/>
              <w:right w:val="single" w:color="000000" w:sz="1"/>
            </w:tcBorders>
            <w:vAlign w:val="center"/>
          </w:tcPr>
          <w:p>
            <w:pPr>
              <w:pStyle w:val="Default"/>
              <w:jc w:val="center"/>
            </w:pPr>
            <w:r>
              <w:t xml:space="preserve">01 Dec 2027</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21,50,856.48</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1,43,652.73</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1,26,625.12</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17,027.61</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20,24,231.36</w:t>
            </w:r>
          </w:p>
        </w:tc>
      </w:tr>
      <w:tr>
        <w:trPr>
          <w:trHeight w:val="300" w:hRule="atLeast"/>
        </w:trPr>
        <w:tc>
          <w:tcPr>
            <w:tcBorders>
              <w:top w:val="single" w:color="000000" w:sz="1"/>
              <w:left w:val="single" w:color="000000" w:sz="1"/>
              <w:bottom w:val="single" w:color="000000" w:sz="1"/>
              <w:right w:val="single" w:color="000000" w:sz="1"/>
            </w:tcBorders>
            <w:vAlign w:val="center"/>
          </w:tcPr>
          <w:p>
            <w:pPr>
              <w:pStyle w:val="Default"/>
              <w:jc w:val="center"/>
            </w:pPr>
            <w:r>
              <w:t xml:space="preserve">46</w:t>
            </w:r>
          </w:p>
        </w:tc>
        <w:tc>
          <w:tcPr>
            <w:tcBorders>
              <w:top w:val="single" w:color="000000" w:sz="1"/>
              <w:left w:val="single" w:color="000000" w:sz="1"/>
              <w:bottom w:val="single" w:color="000000" w:sz="1"/>
              <w:right w:val="single" w:color="000000" w:sz="1"/>
            </w:tcBorders>
            <w:vAlign w:val="center"/>
          </w:tcPr>
          <w:p>
            <w:pPr>
              <w:pStyle w:val="Default"/>
              <w:jc w:val="center"/>
            </w:pPr>
            <w:r>
              <w:t xml:space="preserve">01 Jan 2028</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20,24,231.36</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1,43,652.73</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1,27,627.57</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16,025.16</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18,96,603.80</w:t>
            </w:r>
          </w:p>
        </w:tc>
      </w:tr>
      <w:tr>
        <w:trPr>
          <w:trHeight w:val="300" w:hRule="atLeast"/>
        </w:trPr>
        <w:tc>
          <w:tcPr>
            <w:tcBorders>
              <w:top w:val="single" w:color="000000" w:sz="1"/>
              <w:left w:val="single" w:color="000000" w:sz="1"/>
              <w:bottom w:val="single" w:color="000000" w:sz="1"/>
              <w:right w:val="single" w:color="000000" w:sz="1"/>
            </w:tcBorders>
            <w:vAlign w:val="center"/>
          </w:tcPr>
          <w:p>
            <w:pPr>
              <w:pStyle w:val="Default"/>
              <w:jc w:val="center"/>
            </w:pPr>
            <w:r>
              <w:t xml:space="preserve">47</w:t>
            </w:r>
          </w:p>
        </w:tc>
        <w:tc>
          <w:tcPr>
            <w:tcBorders>
              <w:top w:val="single" w:color="000000" w:sz="1"/>
              <w:left w:val="single" w:color="000000" w:sz="1"/>
              <w:bottom w:val="single" w:color="000000" w:sz="1"/>
              <w:right w:val="single" w:color="000000" w:sz="1"/>
            </w:tcBorders>
            <w:vAlign w:val="center"/>
          </w:tcPr>
          <w:p>
            <w:pPr>
              <w:pStyle w:val="Default"/>
              <w:jc w:val="center"/>
            </w:pPr>
            <w:r>
              <w:t xml:space="preserve">01 Feb 2028</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18,96,603.80</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1,43,652.73</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1,28,637.95</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15,014.78</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17,67,965.85</w:t>
            </w:r>
          </w:p>
        </w:tc>
      </w:tr>
      <w:tr>
        <w:trPr>
          <w:trHeight w:val="300" w:hRule="atLeast"/>
        </w:trPr>
        <w:tc>
          <w:tcPr>
            <w:tcBorders>
              <w:top w:val="single" w:color="000000" w:sz="1"/>
              <w:left w:val="single" w:color="000000" w:sz="1"/>
              <w:bottom w:val="single" w:color="000000" w:sz="1"/>
              <w:right w:val="single" w:color="000000" w:sz="1"/>
            </w:tcBorders>
            <w:vAlign w:val="center"/>
          </w:tcPr>
          <w:p>
            <w:pPr>
              <w:pStyle w:val="Default"/>
              <w:jc w:val="center"/>
            </w:pPr>
            <w:r>
              <w:t xml:space="preserve">48</w:t>
            </w:r>
          </w:p>
        </w:tc>
        <w:tc>
          <w:tcPr>
            <w:tcBorders>
              <w:top w:val="single" w:color="000000" w:sz="1"/>
              <w:left w:val="single" w:color="000000" w:sz="1"/>
              <w:bottom w:val="single" w:color="000000" w:sz="1"/>
              <w:right w:val="single" w:color="000000" w:sz="1"/>
            </w:tcBorders>
            <w:vAlign w:val="center"/>
          </w:tcPr>
          <w:p>
            <w:pPr>
              <w:pStyle w:val="Default"/>
              <w:jc w:val="center"/>
            </w:pPr>
            <w:r>
              <w:t xml:space="preserve">01 Mar 2028</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17,67,965.85</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1,43,652.73</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1,29,656.34</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13,996.40</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16,38,309.51</w:t>
            </w:r>
          </w:p>
        </w:tc>
      </w:tr>
      <w:tr>
        <w:trPr>
          <w:trHeight w:val="300" w:hRule="atLeast"/>
        </w:trPr>
        <w:tc>
          <w:tcPr>
            <w:tcBorders>
              <w:top w:val="single" w:color="000000" w:sz="1"/>
              <w:left w:val="single" w:color="000000" w:sz="1"/>
              <w:bottom w:val="single" w:color="000000" w:sz="1"/>
              <w:right w:val="single" w:color="000000" w:sz="1"/>
            </w:tcBorders>
            <w:vAlign w:val="center"/>
          </w:tcPr>
          <w:p>
            <w:pPr>
              <w:pStyle w:val="Default"/>
              <w:jc w:val="center"/>
            </w:pPr>
            <w:r>
              <w:t xml:space="preserve">49</w:t>
            </w:r>
          </w:p>
        </w:tc>
        <w:tc>
          <w:tcPr>
            <w:tcBorders>
              <w:top w:val="single" w:color="000000" w:sz="1"/>
              <w:left w:val="single" w:color="000000" w:sz="1"/>
              <w:bottom w:val="single" w:color="000000" w:sz="1"/>
              <w:right w:val="single" w:color="000000" w:sz="1"/>
            </w:tcBorders>
            <w:vAlign w:val="center"/>
          </w:tcPr>
          <w:p>
            <w:pPr>
              <w:pStyle w:val="Default"/>
              <w:jc w:val="center"/>
            </w:pPr>
            <w:r>
              <w:t xml:space="preserve">01 Apr 2028</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16,38,309.51</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1,43,652.73</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1,30,682.78</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12,969.95</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15,07,626.73</w:t>
            </w:r>
          </w:p>
        </w:tc>
      </w:tr>
      <w:tr>
        <w:trPr>
          <w:trHeight w:val="300" w:hRule="atLeast"/>
        </w:trPr>
        <w:tc>
          <w:tcPr>
            <w:tcBorders>
              <w:top w:val="single" w:color="000000" w:sz="1"/>
              <w:left w:val="single" w:color="000000" w:sz="1"/>
              <w:bottom w:val="single" w:color="000000" w:sz="1"/>
              <w:right w:val="single" w:color="000000" w:sz="1"/>
            </w:tcBorders>
            <w:vAlign w:val="center"/>
          </w:tcPr>
          <w:p>
            <w:pPr>
              <w:pStyle w:val="Default"/>
              <w:jc w:val="center"/>
            </w:pPr>
            <w:r>
              <w:t xml:space="preserve">50</w:t>
            </w:r>
          </w:p>
        </w:tc>
        <w:tc>
          <w:tcPr>
            <w:tcBorders>
              <w:top w:val="single" w:color="000000" w:sz="1"/>
              <w:left w:val="single" w:color="000000" w:sz="1"/>
              <w:bottom w:val="single" w:color="000000" w:sz="1"/>
              <w:right w:val="single" w:color="000000" w:sz="1"/>
            </w:tcBorders>
            <w:vAlign w:val="center"/>
          </w:tcPr>
          <w:p>
            <w:pPr>
              <w:pStyle w:val="Default"/>
              <w:jc w:val="center"/>
            </w:pPr>
            <w:r>
              <w:t xml:space="preserve">01 May 2028</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15,07,626.73</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1,43,652.73</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1,31,717.35</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11,935.38</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13,75,909.38</w:t>
            </w:r>
          </w:p>
        </w:tc>
      </w:tr>
      <w:tr>
        <w:trPr>
          <w:trHeight w:val="300" w:hRule="atLeast"/>
        </w:trPr>
        <w:tc>
          <w:tcPr>
            <w:tcBorders>
              <w:top w:val="single" w:color="000000" w:sz="1"/>
              <w:left w:val="single" w:color="000000" w:sz="1"/>
              <w:bottom w:val="single" w:color="000000" w:sz="1"/>
              <w:right w:val="single" w:color="000000" w:sz="1"/>
            </w:tcBorders>
            <w:vAlign w:val="center"/>
          </w:tcPr>
          <w:p>
            <w:pPr>
              <w:pStyle w:val="Default"/>
              <w:jc w:val="center"/>
            </w:pPr>
            <w:r>
              <w:t xml:space="preserve">51</w:t>
            </w:r>
          </w:p>
        </w:tc>
        <w:tc>
          <w:tcPr>
            <w:tcBorders>
              <w:top w:val="single" w:color="000000" w:sz="1"/>
              <w:left w:val="single" w:color="000000" w:sz="1"/>
              <w:bottom w:val="single" w:color="000000" w:sz="1"/>
              <w:right w:val="single" w:color="000000" w:sz="1"/>
            </w:tcBorders>
            <w:vAlign w:val="center"/>
          </w:tcPr>
          <w:p>
            <w:pPr>
              <w:pStyle w:val="Default"/>
              <w:jc w:val="center"/>
            </w:pPr>
            <w:r>
              <w:t xml:space="preserve">01 Jun 2028</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13,75,909.38</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1,43,652.73</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1,32,760.12</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10,892.62</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12,43,149.26</w:t>
            </w:r>
          </w:p>
        </w:tc>
      </w:tr>
      <w:tr>
        <w:trPr>
          <w:trHeight w:val="300" w:hRule="atLeast"/>
        </w:trPr>
        <w:tc>
          <w:tcPr>
            <w:tcBorders>
              <w:top w:val="single" w:color="000000" w:sz="1"/>
              <w:left w:val="single" w:color="000000" w:sz="1"/>
              <w:bottom w:val="single" w:color="000000" w:sz="1"/>
              <w:right w:val="single" w:color="000000" w:sz="1"/>
            </w:tcBorders>
            <w:vAlign w:val="center"/>
          </w:tcPr>
          <w:p>
            <w:pPr>
              <w:pStyle w:val="Default"/>
              <w:jc w:val="center"/>
            </w:pPr>
            <w:r>
              <w:t xml:space="preserve">52</w:t>
            </w:r>
          </w:p>
        </w:tc>
        <w:tc>
          <w:tcPr>
            <w:tcBorders>
              <w:top w:val="single" w:color="000000" w:sz="1"/>
              <w:left w:val="single" w:color="000000" w:sz="1"/>
              <w:bottom w:val="single" w:color="000000" w:sz="1"/>
              <w:right w:val="single" w:color="000000" w:sz="1"/>
            </w:tcBorders>
            <w:vAlign w:val="center"/>
          </w:tcPr>
          <w:p>
            <w:pPr>
              <w:pStyle w:val="Default"/>
              <w:jc w:val="center"/>
            </w:pPr>
            <w:r>
              <w:t xml:space="preserve">01 Jul 2028</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12,43,149.26</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1,43,652.73</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1,33,811.13</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9,841.60</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11,09,338.13</w:t>
            </w:r>
          </w:p>
        </w:tc>
      </w:tr>
      <w:tr>
        <w:trPr>
          <w:trHeight w:val="300" w:hRule="atLeast"/>
        </w:trPr>
        <w:tc>
          <w:tcPr>
            <w:tcBorders>
              <w:top w:val="single" w:color="000000" w:sz="1"/>
              <w:left w:val="single" w:color="000000" w:sz="1"/>
              <w:bottom w:val="single" w:color="000000" w:sz="1"/>
              <w:right w:val="single" w:color="000000" w:sz="1"/>
            </w:tcBorders>
            <w:vAlign w:val="center"/>
          </w:tcPr>
          <w:p>
            <w:pPr>
              <w:pStyle w:val="Default"/>
              <w:jc w:val="center"/>
            </w:pPr>
            <w:r>
              <w:t xml:space="preserve">53</w:t>
            </w:r>
          </w:p>
        </w:tc>
        <w:tc>
          <w:tcPr>
            <w:tcBorders>
              <w:top w:val="single" w:color="000000" w:sz="1"/>
              <w:left w:val="single" w:color="000000" w:sz="1"/>
              <w:bottom w:val="single" w:color="000000" w:sz="1"/>
              <w:right w:val="single" w:color="000000" w:sz="1"/>
            </w:tcBorders>
            <w:vAlign w:val="center"/>
          </w:tcPr>
          <w:p>
            <w:pPr>
              <w:pStyle w:val="Default"/>
              <w:jc w:val="center"/>
            </w:pPr>
            <w:r>
              <w:t xml:space="preserve">01 Aug 2028</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11,09,338.13</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1,43,652.73</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1,34,870.47</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8,782.26</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9,74,467.66</w:t>
            </w:r>
          </w:p>
        </w:tc>
      </w:tr>
      <w:tr>
        <w:trPr>
          <w:trHeight w:val="300" w:hRule="atLeast"/>
        </w:trPr>
        <w:tc>
          <w:tcPr>
            <w:tcBorders>
              <w:top w:val="single" w:color="000000" w:sz="1"/>
              <w:left w:val="single" w:color="000000" w:sz="1"/>
              <w:bottom w:val="single" w:color="000000" w:sz="1"/>
              <w:right w:val="single" w:color="000000" w:sz="1"/>
            </w:tcBorders>
            <w:vAlign w:val="center"/>
          </w:tcPr>
          <w:p>
            <w:pPr>
              <w:pStyle w:val="Default"/>
              <w:jc w:val="center"/>
            </w:pPr>
            <w:r>
              <w:t xml:space="preserve">54</w:t>
            </w:r>
          </w:p>
        </w:tc>
        <w:tc>
          <w:tcPr>
            <w:tcBorders>
              <w:top w:val="single" w:color="000000" w:sz="1"/>
              <w:left w:val="single" w:color="000000" w:sz="1"/>
              <w:bottom w:val="single" w:color="000000" w:sz="1"/>
              <w:right w:val="single" w:color="000000" w:sz="1"/>
            </w:tcBorders>
            <w:vAlign w:val="center"/>
          </w:tcPr>
          <w:p>
            <w:pPr>
              <w:pStyle w:val="Default"/>
              <w:jc w:val="center"/>
            </w:pPr>
            <w:r>
              <w:t xml:space="preserve">01 Sept 2028</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9,74,467.66</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1,43,652.73</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1,35,938.20</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7,714.54</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8,38,529.46</w:t>
            </w:r>
          </w:p>
        </w:tc>
      </w:tr>
      <w:tr>
        <w:trPr>
          <w:trHeight w:val="300" w:hRule="atLeast"/>
        </w:trPr>
        <w:tc>
          <w:tcPr>
            <w:tcBorders>
              <w:top w:val="single" w:color="000000" w:sz="1"/>
              <w:left w:val="single" w:color="000000" w:sz="1"/>
              <w:bottom w:val="single" w:color="000000" w:sz="1"/>
              <w:right w:val="single" w:color="000000" w:sz="1"/>
            </w:tcBorders>
            <w:vAlign w:val="center"/>
          </w:tcPr>
          <w:p>
            <w:pPr>
              <w:pStyle w:val="Default"/>
              <w:jc w:val="center"/>
            </w:pPr>
            <w:r>
              <w:t xml:space="preserve">55</w:t>
            </w:r>
          </w:p>
        </w:tc>
        <w:tc>
          <w:tcPr>
            <w:tcBorders>
              <w:top w:val="single" w:color="000000" w:sz="1"/>
              <w:left w:val="single" w:color="000000" w:sz="1"/>
              <w:bottom w:val="single" w:color="000000" w:sz="1"/>
              <w:right w:val="single" w:color="000000" w:sz="1"/>
            </w:tcBorders>
            <w:vAlign w:val="center"/>
          </w:tcPr>
          <w:p>
            <w:pPr>
              <w:pStyle w:val="Default"/>
              <w:jc w:val="center"/>
            </w:pPr>
            <w:r>
              <w:t xml:space="preserve">01 Oct 2028</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8,38,529.46</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1,43,652.73</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1,37,014.37</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6,638.36</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7,01,515.09</w:t>
            </w:r>
          </w:p>
        </w:tc>
      </w:tr>
      <w:tr>
        <w:trPr>
          <w:trHeight w:val="300" w:hRule="atLeast"/>
        </w:trPr>
        <w:tc>
          <w:tcPr>
            <w:tcBorders>
              <w:top w:val="single" w:color="000000" w:sz="1"/>
              <w:left w:val="single" w:color="000000" w:sz="1"/>
              <w:bottom w:val="single" w:color="000000" w:sz="1"/>
              <w:right w:val="single" w:color="000000" w:sz="1"/>
            </w:tcBorders>
            <w:vAlign w:val="center"/>
          </w:tcPr>
          <w:p>
            <w:pPr>
              <w:pStyle w:val="Default"/>
              <w:jc w:val="center"/>
            </w:pPr>
            <w:r>
              <w:t xml:space="preserve">56</w:t>
            </w:r>
          </w:p>
        </w:tc>
        <w:tc>
          <w:tcPr>
            <w:tcBorders>
              <w:top w:val="single" w:color="000000" w:sz="1"/>
              <w:left w:val="single" w:color="000000" w:sz="1"/>
              <w:bottom w:val="single" w:color="000000" w:sz="1"/>
              <w:right w:val="single" w:color="000000" w:sz="1"/>
            </w:tcBorders>
            <w:vAlign w:val="center"/>
          </w:tcPr>
          <w:p>
            <w:pPr>
              <w:pStyle w:val="Default"/>
              <w:jc w:val="center"/>
            </w:pPr>
            <w:r>
              <w:t xml:space="preserve">01 Nov 2028</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7,01,515.09</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1,43,652.73</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1,38,099.07</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5,553.66</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5,63,416.02</w:t>
            </w:r>
          </w:p>
        </w:tc>
      </w:tr>
      <w:tr>
        <w:trPr>
          <w:trHeight w:val="300" w:hRule="atLeast"/>
        </w:trPr>
        <w:tc>
          <w:tcPr>
            <w:tcBorders>
              <w:top w:val="single" w:color="000000" w:sz="1"/>
              <w:left w:val="single" w:color="000000" w:sz="1"/>
              <w:bottom w:val="single" w:color="000000" w:sz="1"/>
              <w:right w:val="single" w:color="000000" w:sz="1"/>
            </w:tcBorders>
            <w:vAlign w:val="center"/>
          </w:tcPr>
          <w:p>
            <w:pPr>
              <w:pStyle w:val="Default"/>
              <w:jc w:val="center"/>
            </w:pPr>
            <w:r>
              <w:t xml:space="preserve">57</w:t>
            </w:r>
          </w:p>
        </w:tc>
        <w:tc>
          <w:tcPr>
            <w:tcBorders>
              <w:top w:val="single" w:color="000000" w:sz="1"/>
              <w:left w:val="single" w:color="000000" w:sz="1"/>
              <w:bottom w:val="single" w:color="000000" w:sz="1"/>
              <w:right w:val="single" w:color="000000" w:sz="1"/>
            </w:tcBorders>
            <w:vAlign w:val="center"/>
          </w:tcPr>
          <w:p>
            <w:pPr>
              <w:pStyle w:val="Default"/>
              <w:jc w:val="center"/>
            </w:pPr>
            <w:r>
              <w:t xml:space="preserve">01 Dec 2028</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5,63,416.02</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1,43,652.73</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1,39,192.35</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4,460.38</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4,24,223.66</w:t>
            </w:r>
          </w:p>
        </w:tc>
      </w:tr>
      <w:tr>
        <w:trPr>
          <w:trHeight w:val="300" w:hRule="atLeast"/>
        </w:trPr>
        <w:tc>
          <w:tcPr>
            <w:tcBorders>
              <w:top w:val="single" w:color="000000" w:sz="1"/>
              <w:left w:val="single" w:color="000000" w:sz="1"/>
              <w:bottom w:val="single" w:color="000000" w:sz="1"/>
              <w:right w:val="single" w:color="000000" w:sz="1"/>
            </w:tcBorders>
            <w:vAlign w:val="center"/>
          </w:tcPr>
          <w:p>
            <w:pPr>
              <w:pStyle w:val="Default"/>
              <w:jc w:val="center"/>
            </w:pPr>
            <w:r>
              <w:t xml:space="preserve">58</w:t>
            </w:r>
          </w:p>
        </w:tc>
        <w:tc>
          <w:tcPr>
            <w:tcBorders>
              <w:top w:val="single" w:color="000000" w:sz="1"/>
              <w:left w:val="single" w:color="000000" w:sz="1"/>
              <w:bottom w:val="single" w:color="000000" w:sz="1"/>
              <w:right w:val="single" w:color="000000" w:sz="1"/>
            </w:tcBorders>
            <w:vAlign w:val="center"/>
          </w:tcPr>
          <w:p>
            <w:pPr>
              <w:pStyle w:val="Default"/>
              <w:jc w:val="center"/>
            </w:pPr>
            <w:r>
              <w:t xml:space="preserve">01 Jan 2029</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4,24,223.66</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1,43,652.73</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1,40,294.29</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3,358.44</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2,83,929.37</w:t>
            </w:r>
          </w:p>
        </w:tc>
      </w:tr>
      <w:tr>
        <w:trPr>
          <w:trHeight w:val="300" w:hRule="atLeast"/>
        </w:trPr>
        <w:tc>
          <w:tcPr>
            <w:tcBorders>
              <w:top w:val="single" w:color="000000" w:sz="1"/>
              <w:left w:val="single" w:color="000000" w:sz="1"/>
              <w:bottom w:val="single" w:color="000000" w:sz="1"/>
              <w:right w:val="single" w:color="000000" w:sz="1"/>
            </w:tcBorders>
            <w:vAlign w:val="center"/>
          </w:tcPr>
          <w:p>
            <w:pPr>
              <w:pStyle w:val="Default"/>
              <w:jc w:val="center"/>
            </w:pPr>
            <w:r>
              <w:t xml:space="preserve">59</w:t>
            </w:r>
          </w:p>
        </w:tc>
        <w:tc>
          <w:tcPr>
            <w:tcBorders>
              <w:top w:val="single" w:color="000000" w:sz="1"/>
              <w:left w:val="single" w:color="000000" w:sz="1"/>
              <w:bottom w:val="single" w:color="000000" w:sz="1"/>
              <w:right w:val="single" w:color="000000" w:sz="1"/>
            </w:tcBorders>
            <w:vAlign w:val="center"/>
          </w:tcPr>
          <w:p>
            <w:pPr>
              <w:pStyle w:val="Default"/>
              <w:jc w:val="center"/>
            </w:pPr>
            <w:r>
              <w:t xml:space="preserve">01 Feb 2029</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2,83,929.37</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1,43,652.73</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1,41,404.96</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2,247.77</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1,42,524.41</w:t>
            </w:r>
          </w:p>
        </w:tc>
      </w:tr>
      <w:tr>
        <w:trPr>
          <w:trHeight w:val="300" w:hRule="atLeast"/>
        </w:trPr>
        <w:tc>
          <w:tcPr>
            <w:tcBorders>
              <w:top w:val="single" w:color="000000" w:sz="1"/>
              <w:left w:val="single" w:color="000000" w:sz="1"/>
              <w:bottom w:val="single" w:color="000000" w:sz="1"/>
              <w:right w:val="single" w:color="000000" w:sz="1"/>
            </w:tcBorders>
            <w:vAlign w:val="center"/>
          </w:tcPr>
          <w:p>
            <w:pPr>
              <w:pStyle w:val="Default"/>
              <w:jc w:val="center"/>
            </w:pPr>
            <w:r>
              <w:t xml:space="preserve">60</w:t>
            </w:r>
          </w:p>
        </w:tc>
        <w:tc>
          <w:tcPr>
            <w:tcBorders>
              <w:top w:val="single" w:color="000000" w:sz="1"/>
              <w:left w:val="single" w:color="000000" w:sz="1"/>
              <w:bottom w:val="single" w:color="000000" w:sz="1"/>
              <w:right w:val="single" w:color="000000" w:sz="1"/>
            </w:tcBorders>
            <w:vAlign w:val="center"/>
          </w:tcPr>
          <w:p>
            <w:pPr>
              <w:pStyle w:val="Default"/>
              <w:jc w:val="center"/>
            </w:pPr>
            <w:r>
              <w:t xml:space="preserve">01 Mar 2029</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1,42,524.41</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1,43,652.73</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1,42,524.41</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1,128.32</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0.00</w:t>
            </w:r>
          </w:p>
        </w:tc>
      </w:tr>
    </w:tbl>
    <w:sectPr>
      <w:footerReference w:type="default" r:id="rId6"/>
      <w:pgSz w:w="11906" w:h="16838" w:orient="portrait"/>
      <w:pgMar w:top="720" w:right="720" w:bottom="720" w:left="720" w:header="708" w:footer="708" w:gutter="0"/>
      <w:pgBorders w:display="allPages" w:offsetFrom="page" w:zOrder="front"/>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t xml:space="preserve">Page </w:t>
    </w:r>
    <w:r>
      <w:fldChar w:fldCharType="begin"/>
      <w:instrText xml:space="preserve">PAGE</w:instrText>
      <w:fldChar w:fldCharType="separate"/>
      <w:fldChar w:fldCharType="end"/>
    </w:r>
    <w:r>
      <w:t xml:space="preserve"> of </w:t>
    </w:r>
    <w: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uri="http://schemas.microsoft.com/office/word" w:name="compatibilityMode"/>
  </w:compat>
  <w:documentProtection w:edit="readOnly" w:enforcement="1" w:cryptProviderType="rsaFull" w:hash="1Tiy+Xa1a9R9o1lKk+q6xQ==" w:salt="U1VjTHBvQWZJbGZrZ3Z5aA==" w:cryptAlgorithmType="typeAES" w:cryptAlgorithmSid="14" w:cryptSpinCount="1000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10pt"/>
        <w:szCs w:val="10pt"/>
        <w:rFonts w:ascii="Calibri" w:cs="Calibri" w:eastAsia="Calibri" w:hAnsi="Calibri"/>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Default">
    <w:name w:val="Default"/>
    <w:basedOn w:val="Normal"/>
    <w:rPr>
      <w:sz w:val="10pt"/>
      <w:szCs w:val="10pt"/>
      <w:rFonts w:ascii="Calibri" w:cs="Calibri" w:eastAsia="Calibri" w:hAnsi="Calibri"/>
    </w:rPr>
  </w:style>
  <w:style w:type="paragraph" w:styleId="Strong">
    <w:name w:val="Strong"/>
    <w:basedOn w:val="Normal"/>
    <w:rPr>
      <w:b/>
      <w:bCs/>
      <w:sz w:val="10pt"/>
      <w:szCs w:val="10pt"/>
      <w:rFonts w:ascii="Calibri" w:cs="Calibri" w:eastAsia="Calibri" w:hAnsi="Calibri"/>
    </w:rPr>
  </w:style>
  <w:style w:type="paragraph" w:styleId="TableHeaderStyle">
    <w:name w:val="Table Header Style"/>
    <w:basedOn w:val="Normal"/>
    <w:rPr>
      <w:b/>
      <w:bCs/>
      <w:sz w:val="10pt"/>
      <w:szCs w:val="10pt"/>
      <w:rFonts w:ascii="Calibri" w:cs="Calibri" w:eastAsia="Calibri" w:hAnsi="Calibri"/>
    </w:rPr>
  </w:style>
  <w:style w:type="paragraph" w:styleId="sectionHeading">
    <w:name w:val="Section Heading"/>
    <w:basedOn w:val="Normal"/>
    <w:pPr>
      <w:spacing w:before="240" w:after="120"/>
    </w:pPr>
    <w:rPr>
      <w:b/>
      <w:bCs/>
      <w:color w:val="475569"/>
      <w:sz w:val="14pt"/>
      <w:szCs w:val="14pt"/>
      <w:rFonts w:ascii="Calibri" w:cs="Calibri" w:eastAsia="Calibri" w:hAnsi="Calibri"/>
    </w:rPr>
  </w:style>
  <w:style w:type="paragraph" w:styleId="docTitle">
    <w:name w:val="Document Title"/>
    <w:basedOn w:val="Normal"/>
    <w:pPr>
      <w:spacing w:before="240" w:after="240"/>
    </w:pPr>
    <w:rPr>
      <w:b/>
      <w:bCs/>
      <w:color w:val="475569"/>
      <w:sz w:val="18pt"/>
      <w:szCs w:val="18pt"/>
      <w:rFonts w:ascii="Calibri" w:cs="Calibri" w:eastAsia="Calibri" w:hAnsi="Calibri"/>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 Id="rId7" Type="http://schemas.openxmlformats.org/officeDocument/2006/relationships/image" Target="media/_qm9iwwid4cdt5ojw2tra.png"/><Relationship Id="rId8" Type="http://schemas.openxmlformats.org/officeDocument/2006/relationships/image" Target="media/ybtvlyof6npqf-yoywsdc.png"/><Relationship Id="rId9" Type="http://schemas.openxmlformats.org/officeDocument/2006/relationships/image" Target="media/rvtgz4umcs2sxyfiknzcq.png"/><Relationship Id="rId10" Type="http://schemas.openxmlformats.org/officeDocument/2006/relationships/image" Target="media/zdc9or7ngbel4rl1ygcoo.png"/><Relationship Id="rId11" Type="http://schemas.openxmlformats.org/officeDocument/2006/relationships/image" Target="media/tusxm2zsh913stgvvx5-f.png"/><Relationship Id="rId12" Type="http://schemas.openxmlformats.org/officeDocument/2006/relationships/image" Target="media/ee2o94eqssmbwmols-av6.png"/><Relationship Id="rId13" Type="http://schemas.openxmlformats.org/officeDocument/2006/relationships/image" Target="media/6llnju4hacpqjjqpnsnal.png"/><Relationship Id="rId14" Type="http://schemas.openxmlformats.org/officeDocument/2006/relationships/image" Target="media/pd18x9bializnforrllcd.png"/><Relationship Id="rId15" Type="http://schemas.openxmlformats.org/officeDocument/2006/relationships/image" Target="media/clmrvl8analm5zv6rrqiz.png"/></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2026-10-10T14:22:04.478Z</dcterms:created>
  <dcterms:modified xsi:type="dcterms:W3CDTF">2026-10-10T14:22:04.478Z</dcterms:modified>
</cp:coreProperties>
</file>

<file path=docProps/custom.xml><?xml version="1.0" encoding="utf-8"?>
<Properties xmlns="http://schemas.openxmlformats.org/officeDocument/2006/custom-properties" xmlns:vt="http://schemas.openxmlformats.org/officeDocument/2006/docPropsVTypes"/>
</file>