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500"/>
      </w:pPr>
    </w:p>
    <w:p>
      <w:pPr>
        <w:spacing w:after="500"/>
        <w:jc w:val="center"/>
      </w:pPr>
      <w:r>
        <w:drawing>
          <wp:inline distT="0" distB="0" distL="0" distR="0">
            <wp:extent cx="42862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0" w:before="500"/>
        <w:jc w:val="center"/>
      </w:pPr>
      <w:r>
        <w:rPr>
          <w:b/>
          <w:bCs/>
          <w:sz w:val="48"/>
          <w:szCs w:val="48"/>
        </w:rPr>
        <w:t xml:space="preserve">BALANCE SHEET REPORT</w:t>
      </w:r>
    </w:p>
    <w:p>
      <w:pPr>
        <w:spacing w:after="1000"/>
        <w:jc w:val="center"/>
      </w:pPr>
      <w:r>
        <w:rPr>
          <w:sz w:val="28"/>
          <w:szCs w:val="28"/>
        </w:rPr>
        <w:t xml:space="preserve">Financial Years FY 2023-24 to 2025-26</w:t>
      </w:r>
    </w:p>
    <w:p>
      <w:pPr>
        <w:spacing w:after="300"/>
        <w:jc w:val="center"/>
      </w:pPr>
      <w:r>
        <w:rPr>
          <w:b/>
          <w:bCs/>
          <w:sz w:val="36"/>
          <w:szCs w:val="36"/>
        </w:rPr>
        <w:t xml:space="preserve">FINXORA HUF</w:t>
      </w:r>
    </w:p>
    <w:p>
      <w:pPr>
        <w:spacing w:after="200"/>
        <w:jc w:val="center"/>
      </w:pPr>
      <w:r>
        <w:rPr>
          <w:sz w:val="24"/>
          <w:szCs w:val="24"/>
        </w:rPr>
        <w:t xml:space="preserve">Karta: AARAV MEHTA (Male, General)</w:t>
      </w:r>
    </w:p>
    <w:p>
      <w:pPr>
        <w:spacing w:after="100"/>
        <w:jc w:val="center"/>
      </w:pPr>
      <w:r>
        <w:rPr>
          <w:sz w:val="24"/>
          <w:szCs w:val="24"/>
        </w:rPr>
        <w:t xml:space="preserve">GST No.: 23AAAHF0000A1Z5</w:t>
      </w:r>
    </w:p>
    <w:p>
      <w:pPr>
        <w:spacing w:after="100"/>
        <w:jc w:val="center"/>
      </w:pPr>
      <w:r>
        <w:rPr>
          <w:sz w:val="24"/>
          <w:szCs w:val="24"/>
        </w:rPr>
        <w:t xml:space="preserve">UDYAM No.: UDYAM-MP-00-0000000</w:t>
      </w:r>
    </w:p>
    <w:p>
      <w:pPr>
        <w:spacing w:after="500"/>
        <w:jc w:val="center"/>
      </w:pPr>
      <w:r>
        <w:rPr>
          <w:b/>
          <w:bCs/>
          <w:sz w:val="28"/>
          <w:szCs w:val="28"/>
        </w:rPr>
        <w:t xml:space="preserve">For CC Loan of 11,55,000.00/- &amp; Term Loan of 34,20,000.00/-</w:t>
      </w:r>
    </w:p>
    <w:p>
      <w:pPr>
        <w:spacing w:after="500"/>
        <w:jc w:val="center"/>
      </w:pPr>
      <w:r>
        <w:rPr>
          <w:b/>
          <w:bCs/>
          <w:sz w:val="24"/>
          <w:szCs w:val="24"/>
        </w:rPr>
        <w:t xml:space="preserve">(Amount in Rupees)</w:t>
      </w:r>
    </w:p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300" w:before="200"/>
        <w:jc w:val="center"/>
      </w:pPr>
      <w:r>
        <w:rPr>
          <w:b/>
          <w:bCs/>
          <w:color w:val="000000"/>
          <w:sz w:val="36"/>
          <w:szCs w:val="36"/>
        </w:rPr>
        <w:t xml:space="preserve">INDEX</w:t>
      </w:r>
    </w:p>
    <w:sdt>
      <w:sdtPr>
        <w:alias w:val="Table of Contents"/>
      </w:sdtPr>
      <w:sdtContent>
        <w:p>
          <w:r>
            <w:fldChar w:fldCharType="begin" w:dirty="true"/>
            <w:instrText xml:space="preserve">TOC \h \t "sectionHeading,1"</w:instrText>
            <w:fldChar w:fldCharType="separate"/>
          </w:r>
        </w:p>
        <w:p>
          <w:r>
            <w:fldChar w:fldCharType="end"/>
          </w:r>
        </w:p>
      </w:sdtContent>
    </w:sdt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1,67,30,958.90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1,68,000.00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16,10,958.90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10,41,600.00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46,70,400.00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2,26,10,958.90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2,26,10,958.90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5,04,000.00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46,70,400.00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2,01,600.00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1,34,400.00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33,600.00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2,35,200.00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1,00,800.00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3,00,889.24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4,22,482.56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15,56,628.20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46,70,400.00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46,70,400.00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31-03-2024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Karta's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90,00,000.00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15,56,628.20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(2,33,494.23)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79,20,000.00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69,03,133.97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16,10,958.90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10,35,616.44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17,26,027.40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4,22,482.56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6,16,707.74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22,42,265.11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NON 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Long Term Borrowings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36,780.48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1,12,56,986.30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1,12,56,986.30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(KARTA)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2023-2024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4,05,000.00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6,07,500.00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34,42,500.00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13,50,000.00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11,47,500.00</w:t>
            </w:r>
          </w:p>
        </w:tc>
      </w:tr>
    </w:tbl>
    <w:p>
      <w:pPr>
        <w:sectPr>
          <w:footerReference w:type="default" r:id="rId6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16,10,958.90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2,26,80,000.00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1,64,58,476.71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17,39,835.62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1,81,440.00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11,24,928.00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50,44,032.01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2,44,19,835.62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2,44,19,835.62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5,44,320.00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50,44,032.01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2,17,728.00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1,45,152.00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54,432.00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54,432.00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36,288.00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2,54,016.00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1,08,864.00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2,45,208.65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9,31,500.00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5,70,052.50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18,82,038.86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50,44,032.01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50,44,032.01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Karta's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69,03,133.97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79,20,000.00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18,82,038.86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9,31,500.00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(2,82,305.83)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69,88,500.00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85,02,867.00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18,41,205.15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11,18,465.75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17,39,835.62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5,70,052.50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18,64,109.59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6,77,914.49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15,64,350.62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1,24,33,650.36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1,24,33,650.36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(KARTA)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2024-2025 (ACTUAL)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2,02,500.00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18,22,500.00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4,05,000.00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40,500.00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3,64,500.00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34,42,500.00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5,16,375.00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29,26,125.00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11,47,500.00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1,72,125.00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9,75,375.00</w:t>
            </w:r>
          </w:p>
        </w:tc>
      </w:tr>
    </w:tbl>
    <w:p>
      <w:pPr>
        <w:sectPr>
          <w:footerReference w:type="default" r:id="rId7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Trading &amp; 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Opening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17,39,835.62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Merchandise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2,44,94,400.00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Merchandise purchases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1,77,75,154.85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Closing Stock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18,79,022.47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Freight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1,95,955.20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Other Direct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12,14,922.24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Gross Profit c/o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54,47,554.56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2,63,73,422.47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2,63,73,422.47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Profit &amp; Loss Account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Salary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5,87,865.60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By Gross Profit b/d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54,47,554.56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Rent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2,35,146.24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Electricity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1,56,764.16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Internet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58,786.56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Stationery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58,786.56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Bank Charges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39,191.04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Miscellaneous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2,74,337.28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Travel Expenses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1,17,573.12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Interest on TL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1,84,001.90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8,03,925.00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4,77,727.26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 Net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24,53,449.84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54,47,554.56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54,47,554.56</w:t>
            </w:r>
          </w:p>
        </w:tc>
      </w:tr>
    </w:tbl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Balance Sheet As At 31-03-2026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DEBIT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CREDIT 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AMOUNT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CAPITAL ACCOUNT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Karta's Capital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85,02,867.00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Gross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69,88,500.00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Reserves &amp; Surplus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(0.01)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Depreciation to 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8,03,925.00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Profit &amp; Loss A/c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24,53,449.84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BLOCK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61,84,575.00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Drawings (Withdrawal)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(3,68,017.48)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NET WORTH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1,05,88,299.35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Cash in Hand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37,61,484.42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CURRENT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Inventory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18,79,022.47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Creditor (Trade)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12,07,943.01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Sundry Debtors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20,13,238.36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Provision for Income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4,77,727.26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Current Portion of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7,45,195.87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TERM LIABILITIES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  Term Loan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8,19,154.76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1,38,38,320.25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left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1,38,38,320.25</w:t>
            </w:r>
          </w:p>
        </w:tc>
      </w:tr>
    </w:tbl>
    <w:p>
      <w:pPr>
        <w:spacing w:before="400"/>
        <w:jc w:val="right"/>
      </w:pPr>
      <w:r>
        <w:rPr>
          <w:b/>
          <w:bCs/>
          <w:sz w:val="20"/>
          <w:szCs w:val="20"/>
        </w:rPr>
        <w:t xml:space="preserve">AARAV MEHTA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SD/-</w:t>
      </w:r>
    </w:p>
    <w:p>
      <w:pPr>
        <w:spacing w:before="40"/>
        <w:jc w:val="right"/>
      </w:pPr>
      <w:r>
        <w:rPr>
          <w:b/>
          <w:bCs/>
          <w:sz w:val="20"/>
          <w:szCs w:val="20"/>
        </w:rPr>
        <w:t xml:space="preserve">(KARTA)</w:t>
      </w:r>
    </w:p>
    <w:p>
      <w:r>
        <w:br w:type="page"/>
      </w:r>
    </w:p>
    <w:p>
      <w:pPr>
        <w:jc w:val="center"/>
      </w:pPr>
      <w:r>
        <w:rPr>
          <w:b/>
          <w:bCs/>
          <w:color w:val="000000"/>
          <w:sz w:val="48"/>
          <w:szCs w:val="48"/>
        </w:rPr>
        <w:t xml:space="preserve">FINXORA HUF</w:t>
      </w:r>
    </w:p>
    <w:p>
      <w:pPr>
        <w:jc w:val="center"/>
      </w:pPr>
      <w:r>
        <w:rPr>
          <w:color w:val="000000"/>
          <w:sz w:val="22"/>
          <w:szCs w:val="22"/>
        </w:rPr>
        <w:t xml:space="preserve">KARTA:- AARAV MEHTA (AAAHF0000A)</w:t>
      </w:r>
    </w:p>
    <w:p>
      <w:pPr>
        <w:jc w:val="center"/>
      </w:pPr>
      <w:r>
        <w:rPr>
          <w:color w:val="000000"/>
          <w:sz w:val="22"/>
          <w:szCs w:val="22"/>
        </w:rPr>
        <w:t xml:space="preserve">Plot 12, Industrial Area, Indore, Madhya Pradesh 452001</w:t>
      </w:r>
    </w:p>
    <w:p>
      <w:pPr>
        <w:spacing w:after="400"/>
        <w:jc w:val="center"/>
      </w:pPr>
      <w:r>
        <w:rPr>
          <w:b/>
          <w:bCs/>
          <w:color w:val="000000"/>
          <w:sz w:val="20"/>
          <w:szCs w:val="20"/>
        </w:rPr>
        <w:t xml:space="preserve">Financial Year 2025-2026 (PROVISIONAL)</w:t>
      </w:r>
    </w:p>
    <w:p>
      <w:pPr>
        <w:pStyle w:val="sectionHeading"/>
        <w:spacing w:before="400" w:after="200"/>
        <w:jc w:val="center"/>
      </w:pPr>
      <w:r>
        <w:rPr>
          <w:b/>
          <w:bCs/>
          <w:color w:val="000000"/>
          <w:sz w:val="25"/>
          <w:szCs w:val="25"/>
        </w:rPr>
        <w:t xml:space="preserve">Depreciation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Sl. No.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Assets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Rate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Depreciation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Land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9,00,000.00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Building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18,22,500.00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1,82,250.00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16,40,250.00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Furniture &amp; Fixtures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3,64,500.00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36,450.00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3,28,050.00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Plant &amp; Machinery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29,26,125.00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4,38,918.75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24,87,206.25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Vehicles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9,75,375.00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15%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1,46,306.25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8,29,068.75</w:t>
            </w:r>
          </w:p>
        </w:tc>
      </w:tr>
    </w:tbl>
    <w:p>
      <w:pPr>
        <w:sectPr>
          <w:footerReference w:type="default" r:id="rId8"/>
          <w:pgSz w:w="11906" w:h="16838" w:orient="portrait"/>
          <w:pgMar w:top="720" w:right="720" w:bottom="720" w:left="720" w:header="708" w:footer="708" w:gutter="0"/>
          <w:pgBorders w:display="allPages" w:offsetFrom="page" w:zOrder="front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HUF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RATIO ANALYSIS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Particulars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2023-2024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2024-2025</w:t>
            </w:r>
            <w:r>
              <w:rPr>
                <w:b/>
                <w:bCs/>
                <w:color w:val="000000"/>
              </w:rPr>
              <w:br/>
              <w:t xml:space="preserve">Actual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FY 2025-2026</w:t>
            </w:r>
            <w:r>
              <w:rPr>
                <w:b/>
                <w:bCs/>
                <w:color w:val="000000"/>
              </w:rPr>
              <w:br/>
              <w:t xml:space="preserve">Provisional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CORE FINANCIALS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Sales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2,10,00,000.00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2,26,80,000.00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2,44,94,400.00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Gross Profit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46,70,400.00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50,44,032.01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54,47,554.56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After Tax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15,56,628.20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18,82,038.86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24,53,449.84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PROFITABILITY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GROSS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22.24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NET PROFIT RATIO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7.41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8.30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10.02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LIQUIDITY &amp;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CURRENT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1.61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2.30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DEBT-EQUITY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0.08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DSCR (Debt Service Coverage Ratio)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/>
                <w:bCs/>
              </w:rPr>
              <w:t xml:space="preserve">3.99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INTEREST COVERAGE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14.33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KEY GROWTH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Sales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8.00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Profit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30.36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Growth in Net Worth (%)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N/A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24.53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EFFICIENCY RATIOS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Stock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13.54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Total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1.77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Fixed Assets Turnover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ADDITIONAL SOLVENCY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Proprietary Ratio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0.77</w:t>
            </w:r>
          </w:p>
        </w:tc>
      </w:tr>
    </w:tbl>
    <w:p>
      <w:pPr>
        <w:sectPr>
          <w:pgSz w:w="11906" w:h="16838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FINXORA HUF</w:t>
      </w:r>
    </w:p>
    <w:p>
      <w:pPr>
        <w:pStyle w:val="sectionHeading"/>
        <w:spacing w:after="400"/>
        <w:jc w:val="center"/>
      </w:pPr>
      <w:r>
        <w:rPr>
          <w:b/>
          <w:bCs/>
          <w:sz w:val="24"/>
          <w:szCs w:val="24"/>
        </w:rPr>
        <w:t xml:space="preserve">Term Loan: Repayment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Month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Date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Opening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EMI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Principal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Interest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Closing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34,20,000.00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44,751.37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27,075.00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33,75,248.63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33,75,248.63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45,105.65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26,720.72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33,30,142.99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33,30,142.99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45,462.73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26,363.63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32,84,680.25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32,84,680.25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45,822.65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26,003.72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32,38,857.61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32,38,857.61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46,185.41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25,640.96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31,92,672.20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31,92,672.20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46,551.04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25,275.32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31,46,121.15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31,46,121.15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46,919.57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24,906.79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30,99,201.58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30,99,201.58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47,291.02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24,535.35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30,51,910.56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30,51,910.56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47,665.41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24,160.96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30,04,245.15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30,04,245.15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48,042.76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23,783.61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29,56,202.39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29,56,202.39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48,423.10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23,403.27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29,07,779.30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29,07,779.30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48,806.45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23,019.92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28,58,972.85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28,58,972.85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49,192.83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22,633.54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28,09,780.02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28,09,780.02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49,582.27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22,244.09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27,60,197.75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27,60,197.75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49,974.80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21,851.57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27,10,222.95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27,10,222.95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50,370.43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21,455.93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26,59,852.51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26,59,852.51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50,769.20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21,057.17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26,09,083.31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26,09,083.31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51,171.12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20,655.24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25,57,912.19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25,57,912.19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51,576.23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20,250.14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25,06,335.96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25,06,335.96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51,984.54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19,841.83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24,54,351.42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24,54,351.42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52,396.08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19,430.28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24,01,955.34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24,01,955.34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52,810.89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19,015.48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23,49,144.45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23,49,144.45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53,228.97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18,597.39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22,95,915.48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22,95,915.48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53,650.37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18,176.00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22,42,265.11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22,42,265.11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54,075.10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17,751.27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21,88,190.01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21,88,190.01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54,503.19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17,323.17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21,33,686.82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21,33,686.82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54,934.68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16,891.69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20,78,752.14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20,78,752.14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55,369.58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16,456.79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20,23,382.56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29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20,23,382.56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55,807.92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16,018.45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19,67,574.64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19,67,574.64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56,249.73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15,576.63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19,11,324.91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19,11,324.91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56,695.04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15,131.32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18,54,629.87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18,54,629.87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57,143.88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14,682.49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17,97,485.99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17,97,485.99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57,596.27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14,230.10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17,39,889.72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17,39,889.72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58,052.24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13,774.13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16,81,837.48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16,81,837.48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58,511.82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13,314.55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16,23,325.66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16,23,325.66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58,975.04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12,851.33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15,64,350.62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15,64,350.62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59,441.92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12,384.44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15,04,908.70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15,04,908.70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59,912.51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11,913.86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14,44,996.19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14,44,996.19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60,386.81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11,439.55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13,84,609.38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13,84,609.38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60,864.87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10,961.49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13,23,744.51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13,23,744.51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61,346.72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10,479.64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12,62,397.79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12,62,397.79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61,832.38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9,993.98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12,00,565.40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12,00,565.40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62,321.89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9,504.48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11,38,243.51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11,38,243.51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62,815.27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9,011.09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10,75,428.24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10,75,428.24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63,312.56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8,513.81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10,12,115.68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10,12,115.68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63,813.78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8,012.58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9,48,301.90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9,48,301.90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64,318.98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7,507.39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8,83,982.92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8,83,982.92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64,828.17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6,998.20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8,19,154.76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49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Apr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8,19,154.76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65,341.39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6,484.98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7,53,813.37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May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7,53,813.37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65,858.68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5,967.69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6,87,954.69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Jun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6,87,954.69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66,380.06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5,446.31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6,21,574.63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Jul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6,21,574.63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66,905.57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4,920.80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5,54,669.06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Aug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5,54,669.06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67,435.24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4,391.13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4,87,233.83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Sept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4,87,233.83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67,969.10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3,857.27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4,19,264.73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Oct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4,19,264.73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68,507.19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3,319.18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3,50,757.54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Nov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3,50,757.54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69,049.54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2,776.83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2,81,708.01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Dec 2027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2,81,708.01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69,596.18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2,230.19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2,12,111.83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Jan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2,12,111.83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70,147.15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1,679.22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1,41,964.69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59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Feb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1,41,964.69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70,702.48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1,123.89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71,262.21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</w:rPr>
              <w:t xml:space="preserve">60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01 Mar 2028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71,262.21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71,826.37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71,262.21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564.16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vAlign w:val="center"/>
          </w:tcPr>
          <w:p>
            <w:pPr>
              <w:jc w:val="right"/>
            </w:pPr>
            <w:r>
              <w:rPr>
                <w:b w:val="false"/>
                <w:bCs w:val="false"/>
              </w:rPr>
              <w:t xml:space="preserve">-</w:t>
            </w:r>
          </w:p>
        </w:tc>
      </w:tr>
      <w:tr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/>
                <w:bCs/>
                <w:color w:val="000000"/>
              </w:rPr>
              <w:t xml:space="preserve">Total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43,09,582.20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34,20,000.03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right"/>
            </w:pPr>
            <w:r>
              <w:rPr>
                <w:b/>
                <w:bCs/>
                <w:color w:val="000000"/>
              </w:rPr>
              <w:t xml:space="preserve">8,89,581.99</w:t>
            </w:r>
          </w:p>
        </w:tc>
        <w:tc>
          <w:tcPr>
            <w:tcBorders>
              <w:top w:val="single" w:sz="1"/>
              <w:left w:val="single" w:sz="1"/>
              <w:bottom w:val="single" w:sz="1"/>
              <w:right w:val="single" w:sz="1"/>
            </w:tcBorders>
            <w:shd w:fill="ffffff" w:color="ffffff" w:val="solid"/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</w:rPr>
            </w:r>
          </w:p>
        </w:tc>
      </w:tr>
    </w:tbl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Page </w:t>
    </w:r>
    <w:r>
      <w:fldChar w:fldCharType="begin"/>
      <w:instrText xml:space="preserve">PAGE</w:instrText>
      <w:fldChar w:fldCharType="separate"/>
      <w:fldChar w:fldCharType="end"/>
    </w:r>
    <w:r>
      <w:t xml:space="preserve"> of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uri="http://schemas.microsoft.com/office/word" w:name="compatibilityMode"/>
  </w:compat>
  <w:documentProtection w:edit="readOnly" w:enforcement="1" w:cryptProviderType="rsaFull" w:hash="1Tiy+Xa1a9R9o1lKk+q6xQ==" w:salt="U1VjTHBvQWZJbGZrZ3Z5aA==" w:cryptAlgorithmType="typeAES" w:cryptAlgorithmSid="14" w:cryptSpinCount="1000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12pt"/>
        <w:szCs w:val="12pt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Normal">
    <w:name w:val="Normal"/>
    <w:basedOn w:val="Normal"/>
    <w:rPr>
      <w:sz w:val="12pt"/>
      <w:szCs w:val="12pt"/>
      <w:rFonts w:ascii="Calibri" w:cs="Calibri" w:eastAsia="Calibri" w:hAnsi="Calibri"/>
    </w:rPr>
  </w:style>
  <w:style w:type="paragraph" w:styleId="sectionHeading">
    <w:name w:val="Section Heading"/>
    <w:basedOn w:val="Normal"/>
    <w:rPr>
      <w:b/>
      <w:bCs/>
      <w:sz w:val="12.5pt"/>
      <w:szCs w:val="12.5pt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image" Target="media/sba2t6jvouugqr2qbpwyn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2026-10-10T14:25:28.199Z</dcterms:created>
  <dcterms:modified xsi:type="dcterms:W3CDTF">2026-10-10T14:25:28.199Z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